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B4057" w14:textId="692D3E98" w:rsidR="00570871" w:rsidRDefault="00A4039F">
      <w:r>
        <w:t xml:space="preserve">Armand </w:t>
      </w:r>
      <w:proofErr w:type="spellStart"/>
      <w:r>
        <w:t>Rioust</w:t>
      </w:r>
      <w:proofErr w:type="spellEnd"/>
      <w:r>
        <w:t xml:space="preserve"> de Largentaye</w:t>
      </w:r>
      <w:r>
        <w:tab/>
      </w:r>
      <w:r>
        <w:tab/>
      </w:r>
      <w:r w:rsidR="002E2ECA">
        <w:tab/>
      </w:r>
      <w:r w:rsidR="002E2ECA">
        <w:tab/>
      </w:r>
      <w:r>
        <w:tab/>
      </w:r>
      <w:r w:rsidR="00E93D16">
        <w:t>Quessoy</w:t>
      </w:r>
      <w:r>
        <w:t xml:space="preserve">, le </w:t>
      </w:r>
      <w:r w:rsidR="003E3815">
        <w:t>2</w:t>
      </w:r>
      <w:r w:rsidR="00E93D16">
        <w:t>7</w:t>
      </w:r>
      <w:r>
        <w:t xml:space="preserve"> juillet 2024</w:t>
      </w:r>
    </w:p>
    <w:p w14:paraId="697358D2" w14:textId="77777777" w:rsidR="00A4039F" w:rsidRDefault="00A4039F"/>
    <w:p w14:paraId="2EB0CE2E" w14:textId="4A08C92B" w:rsidR="00A4039F" w:rsidRDefault="00A4039F" w:rsidP="00A45C6B">
      <w:pPr>
        <w:jc w:val="center"/>
      </w:pPr>
      <w:r w:rsidRPr="00E85D85">
        <w:rPr>
          <w:b/>
          <w:bCs/>
        </w:rPr>
        <w:t>Louis-Pascal Mahé : témoignage</w:t>
      </w:r>
      <w:r w:rsidR="004717C6">
        <w:t xml:space="preserve"> (20</w:t>
      </w:r>
      <w:r w:rsidR="004B73A8">
        <w:t>2</w:t>
      </w:r>
      <w:r w:rsidR="004717C6">
        <w:t>1)</w:t>
      </w:r>
    </w:p>
    <w:p w14:paraId="6F450C55" w14:textId="622459E5" w:rsidR="00A4039F" w:rsidRDefault="00A4039F" w:rsidP="00A45C6B">
      <w:pPr>
        <w:jc w:val="center"/>
      </w:pPr>
      <w:r>
        <w:t>HAL Id : hal-04256180</w:t>
      </w:r>
    </w:p>
    <w:p w14:paraId="41886DE1" w14:textId="08ED80DB" w:rsidR="00241B19" w:rsidRDefault="00000000" w:rsidP="00A45C6B">
      <w:pPr>
        <w:jc w:val="center"/>
      </w:pPr>
      <w:hyperlink r:id="rId8" w:history="1">
        <w:r w:rsidR="00241B19" w:rsidRPr="00657FF9">
          <w:rPr>
            <w:rStyle w:val="Hyperlink"/>
          </w:rPr>
          <w:t>https://hal.inrae.fr/hal-04256180v1/file/N21-T2_TEMOIGNAGE_LOUIS-PASCAL_MAHE.pdf</w:t>
        </w:r>
      </w:hyperlink>
    </w:p>
    <w:p w14:paraId="49E24146" w14:textId="77777777" w:rsidR="00A4039F" w:rsidRDefault="00A4039F"/>
    <w:p w14:paraId="4447600B" w14:textId="2F9CAA1B" w:rsidR="00FC0649" w:rsidRDefault="00FC0649" w:rsidP="004B73A8">
      <w:pPr>
        <w:jc w:val="both"/>
        <w:rPr>
          <w:i/>
          <w:iCs/>
        </w:rPr>
      </w:pPr>
      <w:r>
        <w:rPr>
          <w:i/>
          <w:iCs/>
        </w:rPr>
        <w:t xml:space="preserve">Notre camarade Pierre </w:t>
      </w:r>
      <w:proofErr w:type="spellStart"/>
      <w:r>
        <w:rPr>
          <w:i/>
          <w:iCs/>
        </w:rPr>
        <w:t>Daucé</w:t>
      </w:r>
      <w:proofErr w:type="spellEnd"/>
      <w:r>
        <w:rPr>
          <w:i/>
          <w:iCs/>
        </w:rPr>
        <w:t xml:space="preserve">, qui a reçu </w:t>
      </w:r>
      <w:proofErr w:type="spellStart"/>
      <w:r>
        <w:rPr>
          <w:i/>
          <w:iCs/>
        </w:rPr>
        <w:t>Agrosbreizh</w:t>
      </w:r>
      <w:proofErr w:type="spellEnd"/>
      <w:r>
        <w:rPr>
          <w:i/>
          <w:iCs/>
        </w:rPr>
        <w:t xml:space="preserve"> en octobre dernier à Romillé </w:t>
      </w:r>
      <w:r w:rsidR="00161DA9">
        <w:rPr>
          <w:i/>
          <w:iCs/>
        </w:rPr>
        <w:t>(Ille</w:t>
      </w:r>
      <w:r w:rsidR="00EC42AF">
        <w:rPr>
          <w:i/>
          <w:iCs/>
        </w:rPr>
        <w:t>-</w:t>
      </w:r>
      <w:r w:rsidR="00161DA9">
        <w:rPr>
          <w:i/>
          <w:iCs/>
        </w:rPr>
        <w:t>et</w:t>
      </w:r>
      <w:r w:rsidR="00EC42AF">
        <w:rPr>
          <w:i/>
          <w:iCs/>
        </w:rPr>
        <w:t>-</w:t>
      </w:r>
      <w:r w:rsidR="00161DA9">
        <w:rPr>
          <w:i/>
          <w:iCs/>
        </w:rPr>
        <w:t xml:space="preserve">Vilaine) </w:t>
      </w:r>
      <w:r>
        <w:rPr>
          <w:i/>
          <w:iCs/>
        </w:rPr>
        <w:t>pour l’exposé de Robert Blondel,</w:t>
      </w:r>
      <w:r w:rsidR="00161746">
        <w:rPr>
          <w:rStyle w:val="FootnoteReference"/>
          <w:i/>
          <w:iCs/>
        </w:rPr>
        <w:footnoteReference w:id="1"/>
      </w:r>
      <w:r>
        <w:rPr>
          <w:i/>
          <w:iCs/>
        </w:rPr>
        <w:t xml:space="preserve"> m’a signalé la biographie de Louis-Pascal</w:t>
      </w:r>
      <w:r w:rsidR="00F8310C" w:rsidRPr="008039FB">
        <w:rPr>
          <w:i/>
          <w:iCs/>
        </w:rPr>
        <w:t xml:space="preserve"> Mahé </w:t>
      </w:r>
      <w:r>
        <w:rPr>
          <w:i/>
          <w:iCs/>
        </w:rPr>
        <w:t xml:space="preserve">publié </w:t>
      </w:r>
      <w:r w:rsidR="004B73A8">
        <w:rPr>
          <w:i/>
          <w:iCs/>
        </w:rPr>
        <w:t>par</w:t>
      </w:r>
      <w:r>
        <w:rPr>
          <w:i/>
          <w:iCs/>
        </w:rPr>
        <w:t xml:space="preserve"> E. </w:t>
      </w:r>
      <w:proofErr w:type="spellStart"/>
      <w:r>
        <w:rPr>
          <w:i/>
          <w:iCs/>
        </w:rPr>
        <w:t>Valceschini</w:t>
      </w:r>
      <w:proofErr w:type="spellEnd"/>
      <w:r>
        <w:rPr>
          <w:i/>
          <w:iCs/>
        </w:rPr>
        <w:t xml:space="preserve"> et P. Cornu dans le cadre de leur histoire de l’Inra (Institut National de recherche agronomique</w:t>
      </w:r>
      <w:r w:rsidR="00161DA9">
        <w:rPr>
          <w:i/>
          <w:iCs/>
        </w:rPr>
        <w:t>)</w:t>
      </w:r>
      <w:r w:rsidR="00C44BCD">
        <w:rPr>
          <w:i/>
          <w:iCs/>
        </w:rPr>
        <w:t>, récemment devenu l’</w:t>
      </w:r>
      <w:proofErr w:type="spellStart"/>
      <w:r w:rsidR="00C44BCD">
        <w:rPr>
          <w:i/>
          <w:iCs/>
        </w:rPr>
        <w:t>Inrae</w:t>
      </w:r>
      <w:proofErr w:type="spellEnd"/>
      <w:r w:rsidR="00C44BCD">
        <w:rPr>
          <w:i/>
          <w:iCs/>
        </w:rPr>
        <w:t xml:space="preserve"> par fusion avec l’</w:t>
      </w:r>
      <w:proofErr w:type="spellStart"/>
      <w:r w:rsidR="00C44BCD">
        <w:rPr>
          <w:i/>
          <w:iCs/>
        </w:rPr>
        <w:t>Irstea</w:t>
      </w:r>
      <w:proofErr w:type="spellEnd"/>
      <w:r>
        <w:rPr>
          <w:i/>
          <w:iCs/>
        </w:rPr>
        <w:t>. L-P Mahé (R 6</w:t>
      </w:r>
      <w:r w:rsidR="006F2A66">
        <w:rPr>
          <w:i/>
          <w:iCs/>
        </w:rPr>
        <w:t>3</w:t>
      </w:r>
      <w:r>
        <w:rPr>
          <w:i/>
          <w:iCs/>
        </w:rPr>
        <w:t xml:space="preserve">) était présent à la réunion de Romillé. </w:t>
      </w:r>
    </w:p>
    <w:p w14:paraId="626D53C9" w14:textId="6253286F" w:rsidR="00EC42AF" w:rsidRDefault="00FC0649" w:rsidP="004B73A8">
      <w:pPr>
        <w:jc w:val="both"/>
        <w:rPr>
          <w:i/>
          <w:iCs/>
        </w:rPr>
      </w:pPr>
      <w:r>
        <w:rPr>
          <w:i/>
          <w:iCs/>
        </w:rPr>
        <w:t xml:space="preserve">Après le débat </w:t>
      </w:r>
      <w:proofErr w:type="spellStart"/>
      <w:r>
        <w:rPr>
          <w:i/>
          <w:iCs/>
        </w:rPr>
        <w:t>Degoulet</w:t>
      </w:r>
      <w:proofErr w:type="spellEnd"/>
      <w:r>
        <w:rPr>
          <w:i/>
          <w:iCs/>
        </w:rPr>
        <w:t xml:space="preserve"> Legendre à l’Institut Agro de Rennes le 3 juin 2024,</w:t>
      </w:r>
      <w:r w:rsidR="001044DA">
        <w:rPr>
          <w:rStyle w:val="FootnoteReference"/>
          <w:i/>
          <w:iCs/>
        </w:rPr>
        <w:footnoteReference w:id="2"/>
      </w:r>
      <w:r>
        <w:rPr>
          <w:i/>
          <w:iCs/>
        </w:rPr>
        <w:t xml:space="preserve"> la lecture de </w:t>
      </w:r>
      <w:proofErr w:type="gramStart"/>
      <w:r>
        <w:rPr>
          <w:i/>
          <w:iCs/>
        </w:rPr>
        <w:t>la</w:t>
      </w:r>
      <w:proofErr w:type="gramEnd"/>
      <w:r>
        <w:rPr>
          <w:i/>
          <w:iCs/>
        </w:rPr>
        <w:t xml:space="preserve"> biographie de L-P Mahé </w:t>
      </w:r>
      <w:r w:rsidR="001044DA">
        <w:rPr>
          <w:i/>
          <w:iCs/>
        </w:rPr>
        <w:t>fait considérer les outils d’analyse et les moyens du</w:t>
      </w:r>
      <w:r w:rsidR="00161DA9">
        <w:rPr>
          <w:i/>
          <w:iCs/>
        </w:rPr>
        <w:t xml:space="preserve"> dialogue </w:t>
      </w:r>
      <w:r w:rsidR="006F2A66">
        <w:rPr>
          <w:i/>
          <w:iCs/>
        </w:rPr>
        <w:t xml:space="preserve">entre </w:t>
      </w:r>
      <w:r w:rsidR="00161DA9">
        <w:rPr>
          <w:i/>
          <w:iCs/>
        </w:rPr>
        <w:t>agriculture et environnement</w:t>
      </w:r>
      <w:r>
        <w:rPr>
          <w:i/>
          <w:iCs/>
        </w:rPr>
        <w:t xml:space="preserve">. Certainement un des économistes agricoles français les plus </w:t>
      </w:r>
      <w:r w:rsidR="00317862">
        <w:rPr>
          <w:i/>
          <w:iCs/>
        </w:rPr>
        <w:t>distingués</w:t>
      </w:r>
      <w:r>
        <w:rPr>
          <w:i/>
          <w:iCs/>
        </w:rPr>
        <w:t xml:space="preserve"> de sa génération</w:t>
      </w:r>
      <w:r w:rsidR="00C44BCD">
        <w:rPr>
          <w:i/>
          <w:iCs/>
        </w:rPr>
        <w:t>,</w:t>
      </w:r>
      <w:r>
        <w:rPr>
          <w:i/>
          <w:iCs/>
        </w:rPr>
        <w:t xml:space="preserve"> notre camarade Mahé é</w:t>
      </w:r>
      <w:r w:rsidR="00224610">
        <w:rPr>
          <w:i/>
          <w:iCs/>
        </w:rPr>
        <w:t>vo</w:t>
      </w:r>
      <w:r>
        <w:rPr>
          <w:i/>
          <w:iCs/>
        </w:rPr>
        <w:t xml:space="preserve">que l’indigence de l’enseignement de l’économie </w:t>
      </w:r>
      <w:r w:rsidR="00C44BCD">
        <w:rPr>
          <w:i/>
          <w:iCs/>
        </w:rPr>
        <w:t xml:space="preserve">il y a soixante ans </w:t>
      </w:r>
      <w:r w:rsidR="00224610">
        <w:rPr>
          <w:i/>
          <w:iCs/>
        </w:rPr>
        <w:t>dans les instituts agronomiques</w:t>
      </w:r>
      <w:r w:rsidR="001044DA">
        <w:rPr>
          <w:i/>
          <w:iCs/>
        </w:rPr>
        <w:t xml:space="preserve">. Devant cette situation, il explique </w:t>
      </w:r>
      <w:r w:rsidR="00224610">
        <w:rPr>
          <w:i/>
          <w:iCs/>
        </w:rPr>
        <w:t>les dispositions qu’il pri</w:t>
      </w:r>
      <w:r w:rsidR="006F2A66">
        <w:rPr>
          <w:i/>
          <w:iCs/>
        </w:rPr>
        <w:t>t notamment</w:t>
      </w:r>
      <w:r w:rsidR="00C44BCD">
        <w:rPr>
          <w:i/>
          <w:iCs/>
        </w:rPr>
        <w:t xml:space="preserve"> à partir de 1990 </w:t>
      </w:r>
      <w:r w:rsidR="00224610">
        <w:rPr>
          <w:i/>
          <w:iCs/>
        </w:rPr>
        <w:t>à la chaire d’économie de l’Ecole nationale supérieure agronomique de Rennes (</w:t>
      </w:r>
      <w:proofErr w:type="spellStart"/>
      <w:r w:rsidR="00224610">
        <w:rPr>
          <w:i/>
          <w:iCs/>
        </w:rPr>
        <w:t>Ensar</w:t>
      </w:r>
      <w:proofErr w:type="spellEnd"/>
      <w:r w:rsidR="00317862">
        <w:rPr>
          <w:i/>
          <w:iCs/>
        </w:rPr>
        <w:t>,</w:t>
      </w:r>
      <w:r w:rsidR="00224610">
        <w:rPr>
          <w:i/>
          <w:iCs/>
        </w:rPr>
        <w:t xml:space="preserve"> aujourd’hui Institut Agro) où Pierre </w:t>
      </w:r>
      <w:proofErr w:type="spellStart"/>
      <w:r w:rsidR="00224610">
        <w:rPr>
          <w:i/>
          <w:iCs/>
        </w:rPr>
        <w:t>Daucé</w:t>
      </w:r>
      <w:proofErr w:type="spellEnd"/>
      <w:r w:rsidR="00224610">
        <w:rPr>
          <w:i/>
          <w:iCs/>
        </w:rPr>
        <w:t xml:space="preserve"> lui succéda en 1997. </w:t>
      </w:r>
    </w:p>
    <w:p w14:paraId="21127FBB" w14:textId="0C14B7D4" w:rsidR="00C40498" w:rsidRDefault="00EC42AF" w:rsidP="004B73A8">
      <w:pPr>
        <w:jc w:val="both"/>
        <w:rPr>
          <w:i/>
          <w:iCs/>
        </w:rPr>
      </w:pPr>
      <w:r>
        <w:rPr>
          <w:i/>
          <w:iCs/>
        </w:rPr>
        <w:t>Au retour de ses études aux Etats-Unis en 1972, L-P Mahé introduisit l’économie de l’environnement à Rennes et l</w:t>
      </w:r>
      <w:r w:rsidR="001044DA">
        <w:rPr>
          <w:i/>
          <w:iCs/>
        </w:rPr>
        <w:t>a</w:t>
      </w:r>
      <w:r>
        <w:rPr>
          <w:i/>
          <w:iCs/>
        </w:rPr>
        <w:t xml:space="preserve"> fit bientôt valoir, notamment en relation avec la Politique agricole commune</w:t>
      </w:r>
      <w:r w:rsidR="001044DA">
        <w:rPr>
          <w:i/>
          <w:iCs/>
        </w:rPr>
        <w:t xml:space="preserve"> (PAC)</w:t>
      </w:r>
      <w:r>
        <w:rPr>
          <w:i/>
          <w:iCs/>
        </w:rPr>
        <w:t xml:space="preserve">. </w:t>
      </w:r>
      <w:r w:rsidR="006F2A66">
        <w:rPr>
          <w:i/>
          <w:iCs/>
        </w:rPr>
        <w:t>En France à</w:t>
      </w:r>
      <w:r w:rsidR="00EE110B">
        <w:rPr>
          <w:i/>
          <w:iCs/>
        </w:rPr>
        <w:t xml:space="preserve"> l’époque, observe-t-il, l</w:t>
      </w:r>
      <w:r w:rsidR="00224610">
        <w:rPr>
          <w:i/>
          <w:iCs/>
        </w:rPr>
        <w:t xml:space="preserve">e </w:t>
      </w:r>
      <w:r w:rsidR="00C44BCD">
        <w:rPr>
          <w:i/>
          <w:iCs/>
        </w:rPr>
        <w:t>raisonnement</w:t>
      </w:r>
      <w:r w:rsidR="00224610">
        <w:rPr>
          <w:i/>
          <w:iCs/>
        </w:rPr>
        <w:t xml:space="preserve"> économique manquait d’outils forme</w:t>
      </w:r>
      <w:r w:rsidR="00C44BCD">
        <w:rPr>
          <w:i/>
          <w:iCs/>
        </w:rPr>
        <w:t>l</w:t>
      </w:r>
      <w:r w:rsidR="00317862">
        <w:rPr>
          <w:i/>
          <w:iCs/>
        </w:rPr>
        <w:t>s</w:t>
      </w:r>
      <w:r w:rsidR="00224610">
        <w:rPr>
          <w:i/>
          <w:iCs/>
        </w:rPr>
        <w:t xml:space="preserve"> d’analyse</w:t>
      </w:r>
      <w:r w:rsidR="001044DA">
        <w:rPr>
          <w:i/>
          <w:iCs/>
        </w:rPr>
        <w:t xml:space="preserve"> et se voyait contrecarré </w:t>
      </w:r>
      <w:r w:rsidR="00224610">
        <w:rPr>
          <w:i/>
          <w:iCs/>
        </w:rPr>
        <w:t>par les arguments d’auto</w:t>
      </w:r>
      <w:r w:rsidR="00C40498">
        <w:rPr>
          <w:i/>
          <w:iCs/>
        </w:rPr>
        <w:t>rit</w:t>
      </w:r>
      <w:r w:rsidR="00224610">
        <w:rPr>
          <w:i/>
          <w:iCs/>
        </w:rPr>
        <w:t xml:space="preserve">é </w:t>
      </w:r>
      <w:r w:rsidR="00C44BCD">
        <w:rPr>
          <w:i/>
          <w:iCs/>
        </w:rPr>
        <w:t>d</w:t>
      </w:r>
      <w:r w:rsidR="00224610">
        <w:rPr>
          <w:i/>
          <w:iCs/>
        </w:rPr>
        <w:t>es organisations professionnelles</w:t>
      </w:r>
      <w:r w:rsidR="00C44BCD">
        <w:rPr>
          <w:i/>
          <w:iCs/>
        </w:rPr>
        <w:t xml:space="preserve">, </w:t>
      </w:r>
      <w:r w:rsidR="00317862">
        <w:rPr>
          <w:i/>
          <w:iCs/>
        </w:rPr>
        <w:t xml:space="preserve">encore aujourd’hui </w:t>
      </w:r>
      <w:r w:rsidR="006F2A66">
        <w:rPr>
          <w:i/>
          <w:iCs/>
        </w:rPr>
        <w:t>quelque peu suivis</w:t>
      </w:r>
      <w:r w:rsidR="00224610">
        <w:rPr>
          <w:i/>
          <w:iCs/>
        </w:rPr>
        <w:t xml:space="preserve"> par le </w:t>
      </w:r>
      <w:proofErr w:type="gramStart"/>
      <w:r w:rsidR="00224610">
        <w:rPr>
          <w:i/>
          <w:iCs/>
        </w:rPr>
        <w:t>Ministère de l’agriculture</w:t>
      </w:r>
      <w:proofErr w:type="gramEnd"/>
      <w:r w:rsidR="00224610">
        <w:rPr>
          <w:i/>
          <w:iCs/>
        </w:rPr>
        <w:t xml:space="preserve">.  </w:t>
      </w:r>
      <w:r w:rsidR="001044DA">
        <w:rPr>
          <w:i/>
          <w:iCs/>
        </w:rPr>
        <w:t xml:space="preserve">Le résultat, nonobstant </w:t>
      </w:r>
      <w:r w:rsidR="00317862">
        <w:rPr>
          <w:i/>
          <w:iCs/>
        </w:rPr>
        <w:t xml:space="preserve">la </w:t>
      </w:r>
      <w:r w:rsidR="00EB622C">
        <w:rPr>
          <w:i/>
          <w:iCs/>
        </w:rPr>
        <w:t>meilleure</w:t>
      </w:r>
      <w:r w:rsidR="00317862">
        <w:rPr>
          <w:i/>
          <w:iCs/>
        </w:rPr>
        <w:t xml:space="preserve"> maîtrise de l’économie agricole d</w:t>
      </w:r>
      <w:r w:rsidR="001044DA">
        <w:rPr>
          <w:i/>
          <w:iCs/>
        </w:rPr>
        <w:t>epuis</w:t>
      </w:r>
      <w:r w:rsidR="00317862">
        <w:rPr>
          <w:i/>
          <w:iCs/>
        </w:rPr>
        <w:t xml:space="preserve"> les années 1990, </w:t>
      </w:r>
      <w:r w:rsidR="00C40498">
        <w:rPr>
          <w:i/>
          <w:iCs/>
        </w:rPr>
        <w:t xml:space="preserve">est </w:t>
      </w:r>
      <w:r>
        <w:rPr>
          <w:i/>
          <w:iCs/>
        </w:rPr>
        <w:t>une</w:t>
      </w:r>
      <w:r w:rsidR="00C40498">
        <w:rPr>
          <w:i/>
          <w:iCs/>
        </w:rPr>
        <w:t xml:space="preserve"> politique agricole qui </w:t>
      </w:r>
      <w:r w:rsidR="00C44BCD">
        <w:rPr>
          <w:i/>
          <w:iCs/>
        </w:rPr>
        <w:t>favorise</w:t>
      </w:r>
      <w:r w:rsidR="00C40498">
        <w:rPr>
          <w:i/>
          <w:iCs/>
        </w:rPr>
        <w:t xml:space="preserve"> une agriculture </w:t>
      </w:r>
      <w:r w:rsidR="00C44BCD">
        <w:rPr>
          <w:i/>
          <w:iCs/>
        </w:rPr>
        <w:t xml:space="preserve">certes </w:t>
      </w:r>
      <w:r w:rsidR="00C40498">
        <w:rPr>
          <w:i/>
          <w:iCs/>
        </w:rPr>
        <w:t>productive mais socialement inéquitable</w:t>
      </w:r>
      <w:r w:rsidR="001044DA">
        <w:rPr>
          <w:i/>
          <w:iCs/>
        </w:rPr>
        <w:t xml:space="preserve">. </w:t>
      </w:r>
      <w:r w:rsidR="00AE6E2F">
        <w:rPr>
          <w:i/>
          <w:iCs/>
        </w:rPr>
        <w:t>Par ailleurs, d</w:t>
      </w:r>
      <w:r w:rsidR="00317862">
        <w:rPr>
          <w:i/>
          <w:iCs/>
        </w:rPr>
        <w:t>ès 1978</w:t>
      </w:r>
      <w:r w:rsidR="001044DA">
        <w:rPr>
          <w:i/>
          <w:iCs/>
        </w:rPr>
        <w:t>,</w:t>
      </w:r>
      <w:r w:rsidR="00317862">
        <w:rPr>
          <w:i/>
          <w:iCs/>
        </w:rPr>
        <w:t xml:space="preserve"> </w:t>
      </w:r>
      <w:r w:rsidR="00C40498">
        <w:rPr>
          <w:i/>
          <w:iCs/>
        </w:rPr>
        <w:t>Jacques Poly</w:t>
      </w:r>
      <w:r w:rsidR="00317862">
        <w:rPr>
          <w:i/>
          <w:iCs/>
        </w:rPr>
        <w:t>,</w:t>
      </w:r>
      <w:r w:rsidR="00C40498">
        <w:rPr>
          <w:i/>
          <w:iCs/>
        </w:rPr>
        <w:t xml:space="preserve"> </w:t>
      </w:r>
      <w:r w:rsidR="00C44BCD">
        <w:rPr>
          <w:i/>
          <w:iCs/>
        </w:rPr>
        <w:t xml:space="preserve">futur directeur général de l’Inra, </w:t>
      </w:r>
      <w:r w:rsidR="001044DA">
        <w:rPr>
          <w:i/>
          <w:iCs/>
        </w:rPr>
        <w:t xml:space="preserve">préconisait une agriculture plus </w:t>
      </w:r>
      <w:r w:rsidR="00C40498">
        <w:rPr>
          <w:i/>
          <w:iCs/>
        </w:rPr>
        <w:t>autonome</w:t>
      </w:r>
      <w:r w:rsidR="00317862">
        <w:rPr>
          <w:i/>
          <w:iCs/>
        </w:rPr>
        <w:t>, p</w:t>
      </w:r>
      <w:r w:rsidR="001044DA">
        <w:rPr>
          <w:i/>
          <w:iCs/>
        </w:rPr>
        <w:t>lus</w:t>
      </w:r>
      <w:r w:rsidR="00317862">
        <w:rPr>
          <w:i/>
          <w:iCs/>
        </w:rPr>
        <w:t xml:space="preserve"> économe</w:t>
      </w:r>
      <w:r w:rsidR="00C40498">
        <w:rPr>
          <w:i/>
          <w:iCs/>
        </w:rPr>
        <w:t xml:space="preserve"> et</w:t>
      </w:r>
      <w:r w:rsidR="001044DA">
        <w:rPr>
          <w:i/>
          <w:iCs/>
        </w:rPr>
        <w:t xml:space="preserve"> plus</w:t>
      </w:r>
      <w:r w:rsidR="00C40498">
        <w:rPr>
          <w:i/>
          <w:iCs/>
        </w:rPr>
        <w:t xml:space="preserve"> durable </w:t>
      </w:r>
      <w:r w:rsidR="001044DA">
        <w:rPr>
          <w:i/>
          <w:iCs/>
        </w:rPr>
        <w:t>s’agissant de s</w:t>
      </w:r>
      <w:r w:rsidR="00C40498">
        <w:rPr>
          <w:i/>
          <w:iCs/>
        </w:rPr>
        <w:t xml:space="preserve">es effets </w:t>
      </w:r>
      <w:r w:rsidR="00C44BCD">
        <w:rPr>
          <w:i/>
          <w:iCs/>
        </w:rPr>
        <w:t xml:space="preserve">prévisibles </w:t>
      </w:r>
      <w:r w:rsidR="00C40498">
        <w:rPr>
          <w:i/>
          <w:iCs/>
        </w:rPr>
        <w:t>sur l’environnem</w:t>
      </w:r>
      <w:r w:rsidR="00C44BCD">
        <w:rPr>
          <w:i/>
          <w:iCs/>
        </w:rPr>
        <w:t>e</w:t>
      </w:r>
      <w:r w:rsidR="00C40498">
        <w:rPr>
          <w:i/>
          <w:iCs/>
        </w:rPr>
        <w:t xml:space="preserve">nt. </w:t>
      </w:r>
    </w:p>
    <w:p w14:paraId="7FC82984" w14:textId="182E8765" w:rsidR="00441AE0" w:rsidRDefault="00C40498" w:rsidP="00441AE0">
      <w:pPr>
        <w:jc w:val="both"/>
        <w:rPr>
          <w:i/>
          <w:iCs/>
        </w:rPr>
      </w:pPr>
      <w:r>
        <w:rPr>
          <w:i/>
          <w:iCs/>
        </w:rPr>
        <w:t xml:space="preserve">La vision de L-P Mahé sur l’organisation de l’enseignement supérieur et de la </w:t>
      </w:r>
      <w:r w:rsidR="00C44BCD">
        <w:rPr>
          <w:i/>
          <w:iCs/>
        </w:rPr>
        <w:t>recherche</w:t>
      </w:r>
      <w:r>
        <w:rPr>
          <w:i/>
          <w:iCs/>
        </w:rPr>
        <w:t xml:space="preserve"> agronomique</w:t>
      </w:r>
      <w:r w:rsidR="00C44BCD">
        <w:rPr>
          <w:i/>
          <w:iCs/>
        </w:rPr>
        <w:t>s</w:t>
      </w:r>
      <w:r>
        <w:rPr>
          <w:i/>
          <w:iCs/>
        </w:rPr>
        <w:t xml:space="preserve"> est particulièrement intéressante à l’heure des </w:t>
      </w:r>
      <w:r w:rsidR="00C44BCD">
        <w:rPr>
          <w:i/>
          <w:iCs/>
        </w:rPr>
        <w:t>débats</w:t>
      </w:r>
      <w:r w:rsidR="001044DA">
        <w:rPr>
          <w:i/>
          <w:iCs/>
        </w:rPr>
        <w:t xml:space="preserve"> sur</w:t>
      </w:r>
      <w:r w:rsidR="00C44BCD">
        <w:rPr>
          <w:i/>
          <w:iCs/>
        </w:rPr>
        <w:t xml:space="preserve"> la </w:t>
      </w:r>
      <w:r w:rsidR="00317862">
        <w:rPr>
          <w:i/>
          <w:iCs/>
        </w:rPr>
        <w:t>p</w:t>
      </w:r>
      <w:r w:rsidR="00C44BCD">
        <w:rPr>
          <w:i/>
          <w:iCs/>
        </w:rPr>
        <w:t xml:space="preserve">olitique </w:t>
      </w:r>
      <w:r w:rsidR="00C44BCD">
        <w:rPr>
          <w:i/>
          <w:iCs/>
        </w:rPr>
        <w:lastRenderedPageBreak/>
        <w:t xml:space="preserve">agricole et </w:t>
      </w:r>
      <w:r w:rsidR="00317862">
        <w:rPr>
          <w:i/>
          <w:iCs/>
        </w:rPr>
        <w:t xml:space="preserve">sur </w:t>
      </w:r>
      <w:r>
        <w:rPr>
          <w:i/>
          <w:iCs/>
        </w:rPr>
        <w:t>le cursus ingénieur d’AgroParisTech. Inspiré par son séjour américain, Mahé observe que le système français</w:t>
      </w:r>
      <w:r w:rsidR="00EB622C">
        <w:rPr>
          <w:i/>
          <w:iCs/>
        </w:rPr>
        <w:t xml:space="preserve"> et européen</w:t>
      </w:r>
      <w:r>
        <w:rPr>
          <w:i/>
          <w:iCs/>
        </w:rPr>
        <w:t xml:space="preserve"> souffre d</w:t>
      </w:r>
      <w:r w:rsidR="00C44BCD">
        <w:rPr>
          <w:i/>
          <w:iCs/>
        </w:rPr>
        <w:t xml:space="preserve">e </w:t>
      </w:r>
      <w:r w:rsidR="00EC42AF">
        <w:rPr>
          <w:i/>
          <w:iCs/>
        </w:rPr>
        <w:t>plusieurs</w:t>
      </w:r>
      <w:r w:rsidR="00317862">
        <w:rPr>
          <w:i/>
          <w:iCs/>
        </w:rPr>
        <w:t xml:space="preserve"> maux</w:t>
      </w:r>
      <w:r w:rsidR="00EC42AF">
        <w:rPr>
          <w:i/>
          <w:iCs/>
        </w:rPr>
        <w:t>, à commencer par</w:t>
      </w:r>
      <w:r w:rsidR="00317862">
        <w:rPr>
          <w:i/>
          <w:iCs/>
        </w:rPr>
        <w:t xml:space="preserve"> </w:t>
      </w:r>
      <w:r w:rsidR="00C44BCD">
        <w:rPr>
          <w:i/>
          <w:iCs/>
        </w:rPr>
        <w:t>sa tendance à la centralisation bureaucratique</w:t>
      </w:r>
      <w:r w:rsidR="00EC42AF">
        <w:rPr>
          <w:i/>
          <w:iCs/>
        </w:rPr>
        <w:t xml:space="preserve"> et </w:t>
      </w:r>
      <w:r w:rsidR="006F2A66">
        <w:rPr>
          <w:i/>
          <w:iCs/>
        </w:rPr>
        <w:t xml:space="preserve">par </w:t>
      </w:r>
      <w:r w:rsidR="00EB622C">
        <w:rPr>
          <w:i/>
          <w:iCs/>
        </w:rPr>
        <w:t xml:space="preserve">l’absence de transparence. </w:t>
      </w:r>
      <w:r w:rsidR="00EB622C" w:rsidRPr="00EB622C">
        <w:rPr>
          <w:i/>
          <w:iCs/>
        </w:rPr>
        <w:t>Pourquoi l’Insee ne publie-t-il pas le niveau de patrimoine du premier décile des agriculteurs et s’arrête-t-il au second décile</w:t>
      </w:r>
      <w:r w:rsidR="001044DA">
        <w:rPr>
          <w:i/>
          <w:iCs/>
        </w:rPr>
        <w:t>,</w:t>
      </w:r>
      <w:r w:rsidR="00EB622C" w:rsidRPr="00EB622C">
        <w:rPr>
          <w:i/>
          <w:iCs/>
        </w:rPr>
        <w:t xml:space="preserve"> interroge-t-il. Est-il sain que la cour de </w:t>
      </w:r>
      <w:proofErr w:type="spellStart"/>
      <w:r w:rsidR="00EB622C" w:rsidRPr="00EB622C">
        <w:rPr>
          <w:i/>
          <w:iCs/>
        </w:rPr>
        <w:t>Karlsuhe</w:t>
      </w:r>
      <w:proofErr w:type="spellEnd"/>
      <w:r w:rsidR="00EB622C" w:rsidRPr="00EB622C">
        <w:rPr>
          <w:i/>
          <w:iCs/>
        </w:rPr>
        <w:t xml:space="preserve"> ait été en mesure de mettre fin à la publication en ligne des noms des bénéficiaires des aides de la PAC et des sommes perçues ? </w:t>
      </w:r>
      <w:r w:rsidR="00EC42AF">
        <w:rPr>
          <w:i/>
          <w:iCs/>
        </w:rPr>
        <w:t>Mahé observe par ailleurs</w:t>
      </w:r>
      <w:r w:rsidR="00EB622C">
        <w:t xml:space="preserve"> </w:t>
      </w:r>
      <w:r w:rsidR="00C44BCD">
        <w:rPr>
          <w:i/>
          <w:iCs/>
        </w:rPr>
        <w:t>l</w:t>
      </w:r>
      <w:r>
        <w:rPr>
          <w:i/>
          <w:iCs/>
        </w:rPr>
        <w:t>’insuffisante proximité entre la recherche et les écoles agronomiques</w:t>
      </w:r>
      <w:r w:rsidR="00EC42AF">
        <w:rPr>
          <w:i/>
          <w:iCs/>
        </w:rPr>
        <w:t>. A</w:t>
      </w:r>
      <w:r>
        <w:rPr>
          <w:i/>
          <w:iCs/>
        </w:rPr>
        <w:t xml:space="preserve"> l’instar de ce qu’il a connu dans le Minnesota, </w:t>
      </w:r>
      <w:r w:rsidR="00441AE0">
        <w:rPr>
          <w:i/>
          <w:iCs/>
        </w:rPr>
        <w:t xml:space="preserve">il plaide, concernant </w:t>
      </w:r>
      <w:proofErr w:type="gramStart"/>
      <w:r w:rsidR="00441AE0">
        <w:rPr>
          <w:i/>
          <w:iCs/>
        </w:rPr>
        <w:t>les  disciplines</w:t>
      </w:r>
      <w:proofErr w:type="gramEnd"/>
      <w:r w:rsidR="00441AE0">
        <w:rPr>
          <w:i/>
          <w:iCs/>
        </w:rPr>
        <w:t xml:space="preserve"> n’appartenant pas au cœur de l’agronomie et enseignées à l’Université, pour l’appel à des enseignants des facultés plutôt que de multiplier les postes </w:t>
      </w:r>
      <w:r w:rsidR="0000024E">
        <w:rPr>
          <w:i/>
          <w:iCs/>
        </w:rPr>
        <w:t>menacés d</w:t>
      </w:r>
      <w:r w:rsidR="00441AE0">
        <w:rPr>
          <w:i/>
          <w:iCs/>
        </w:rPr>
        <w:t xml:space="preserve">’isolation scientifique au sein des écoles d’agronomie. </w:t>
      </w:r>
    </w:p>
    <w:p w14:paraId="5E1BD93A" w14:textId="3CEDABCF" w:rsidR="00E05854" w:rsidRDefault="00441AE0" w:rsidP="00441AE0">
      <w:pPr>
        <w:jc w:val="both"/>
        <w:rPr>
          <w:i/>
          <w:iCs/>
        </w:rPr>
      </w:pPr>
      <w:r>
        <w:rPr>
          <w:i/>
          <w:iCs/>
        </w:rPr>
        <w:t xml:space="preserve">Louis-Pascal Mahé ne cache pas son scepticisme concernant le succès de ses propositions de réforme de la PAC. </w:t>
      </w:r>
      <w:r w:rsidR="00664D71">
        <w:rPr>
          <w:i/>
          <w:iCs/>
        </w:rPr>
        <w:t>La politique agricole</w:t>
      </w:r>
      <w:r w:rsidR="00E05854">
        <w:rPr>
          <w:i/>
          <w:iCs/>
        </w:rPr>
        <w:t xml:space="preserve"> reste prisonnière d’intérêts ancrés d’autant plus influents que le pouvoir européen est </w:t>
      </w:r>
      <w:r w:rsidR="001044DA">
        <w:rPr>
          <w:i/>
          <w:iCs/>
        </w:rPr>
        <w:t xml:space="preserve">aujourd’hui </w:t>
      </w:r>
      <w:r w:rsidR="00E05854">
        <w:rPr>
          <w:i/>
          <w:iCs/>
        </w:rPr>
        <w:t xml:space="preserve">fracturé. Pour aboutir, pour entamer une réelle réforme de la politique agricole, le dialogue entre agriculteurs et citoyens devra donner plus de place à la transparence. </w:t>
      </w:r>
    </w:p>
    <w:p w14:paraId="2FE7867D" w14:textId="6D197E73" w:rsidR="0009153F" w:rsidRDefault="0009153F" w:rsidP="009E0555">
      <w:pPr>
        <w:jc w:val="both"/>
        <w:rPr>
          <w:i/>
          <w:iCs/>
        </w:rPr>
      </w:pPr>
      <w:r>
        <w:rPr>
          <w:i/>
          <w:iCs/>
        </w:rPr>
        <w:t>Au total, la biographie de Louis-Pascal Mahé fournit une analyse</w:t>
      </w:r>
      <w:r w:rsidR="009050E5">
        <w:rPr>
          <w:i/>
          <w:iCs/>
        </w:rPr>
        <w:t xml:space="preserve"> pertinente après le débat du 3 juin</w:t>
      </w:r>
      <w:r w:rsidR="00AB5450">
        <w:rPr>
          <w:i/>
          <w:iCs/>
        </w:rPr>
        <w:t xml:space="preserve"> 2024</w:t>
      </w:r>
      <w:r w:rsidR="009050E5">
        <w:rPr>
          <w:i/>
          <w:iCs/>
        </w:rPr>
        <w:t xml:space="preserve">, </w:t>
      </w:r>
      <w:r w:rsidR="00AB5450">
        <w:rPr>
          <w:i/>
          <w:iCs/>
        </w:rPr>
        <w:t xml:space="preserve">en </w:t>
      </w:r>
      <w:r w:rsidR="00C64812">
        <w:rPr>
          <w:i/>
          <w:iCs/>
        </w:rPr>
        <w:t>révélant</w:t>
      </w:r>
      <w:r w:rsidR="00AB5450">
        <w:rPr>
          <w:i/>
          <w:iCs/>
        </w:rPr>
        <w:t xml:space="preserve"> la nature </w:t>
      </w:r>
      <w:r>
        <w:rPr>
          <w:i/>
          <w:iCs/>
        </w:rPr>
        <w:t xml:space="preserve">des obstacles au dialogue sur la politique agricole. Cette analyse repose sur </w:t>
      </w:r>
      <w:r w:rsidR="00A05934">
        <w:rPr>
          <w:i/>
          <w:iCs/>
        </w:rPr>
        <w:t>s</w:t>
      </w:r>
      <w:r>
        <w:rPr>
          <w:i/>
          <w:iCs/>
        </w:rPr>
        <w:t>a compétence économique</w:t>
      </w:r>
      <w:r w:rsidR="00A05934">
        <w:rPr>
          <w:i/>
          <w:iCs/>
        </w:rPr>
        <w:t>,</w:t>
      </w:r>
      <w:r>
        <w:rPr>
          <w:i/>
          <w:iCs/>
        </w:rPr>
        <w:t xml:space="preserve"> acquise aux Etats-Unis</w:t>
      </w:r>
      <w:r w:rsidR="00096648">
        <w:rPr>
          <w:i/>
          <w:iCs/>
        </w:rPr>
        <w:t>,</w:t>
      </w:r>
      <w:r>
        <w:rPr>
          <w:i/>
          <w:iCs/>
        </w:rPr>
        <w:t xml:space="preserve"> qui fait valoir l’intérêt des outils de formalisation de l’analyse (modèles économiques essentiellement) tout en appelant à rester vigilant sur</w:t>
      </w:r>
      <w:r w:rsidR="00096648">
        <w:rPr>
          <w:i/>
          <w:iCs/>
        </w:rPr>
        <w:t xml:space="preserve"> l</w:t>
      </w:r>
      <w:r>
        <w:rPr>
          <w:i/>
          <w:iCs/>
        </w:rPr>
        <w:t xml:space="preserve">es faits et </w:t>
      </w:r>
      <w:r w:rsidR="00096648">
        <w:rPr>
          <w:i/>
          <w:iCs/>
        </w:rPr>
        <w:t>l</w:t>
      </w:r>
      <w:r>
        <w:rPr>
          <w:i/>
          <w:iCs/>
        </w:rPr>
        <w:t>es institutions</w:t>
      </w:r>
      <w:r w:rsidR="00096648">
        <w:rPr>
          <w:i/>
          <w:iCs/>
        </w:rPr>
        <w:t xml:space="preserve"> préval</w:t>
      </w:r>
      <w:r w:rsidR="009050E5">
        <w:rPr>
          <w:i/>
          <w:iCs/>
        </w:rPr>
        <w:t>e</w:t>
      </w:r>
      <w:r w:rsidR="00096648">
        <w:rPr>
          <w:i/>
          <w:iCs/>
        </w:rPr>
        <w:t>nts</w:t>
      </w:r>
      <w:r>
        <w:rPr>
          <w:i/>
          <w:iCs/>
        </w:rPr>
        <w:t>.</w:t>
      </w:r>
      <w:r w:rsidR="00A05934">
        <w:rPr>
          <w:i/>
          <w:iCs/>
        </w:rPr>
        <w:t xml:space="preserve"> </w:t>
      </w:r>
      <w:r w:rsidR="00096648">
        <w:rPr>
          <w:i/>
          <w:iCs/>
        </w:rPr>
        <w:t>L</w:t>
      </w:r>
      <w:r w:rsidR="00A05934">
        <w:rPr>
          <w:i/>
          <w:iCs/>
        </w:rPr>
        <w:t xml:space="preserve">a compétence et </w:t>
      </w:r>
      <w:r w:rsidR="00096648">
        <w:rPr>
          <w:i/>
          <w:iCs/>
        </w:rPr>
        <w:t>l’</w:t>
      </w:r>
      <w:r w:rsidR="00A05934">
        <w:rPr>
          <w:i/>
          <w:iCs/>
        </w:rPr>
        <w:t xml:space="preserve">expérience économiques </w:t>
      </w:r>
      <w:r w:rsidR="00096648">
        <w:rPr>
          <w:i/>
          <w:iCs/>
        </w:rPr>
        <w:t xml:space="preserve">de Louis-Pascal Mahé lui </w:t>
      </w:r>
      <w:r w:rsidR="00A05934">
        <w:rPr>
          <w:i/>
          <w:iCs/>
        </w:rPr>
        <w:t>font vanter les vertus de la circulation des idées, de l’ouverture des instituts agronomiques à des enseignants économiques extérieurs et</w:t>
      </w:r>
      <w:r w:rsidR="00096648">
        <w:rPr>
          <w:i/>
          <w:iCs/>
        </w:rPr>
        <w:t>, comme on l’a dit,</w:t>
      </w:r>
      <w:r w:rsidR="00A05934">
        <w:rPr>
          <w:i/>
          <w:iCs/>
        </w:rPr>
        <w:t xml:space="preserve"> au rapprochement de la recherche et de l’enseignement supérieur. </w:t>
      </w:r>
    </w:p>
    <w:p w14:paraId="1E97F716" w14:textId="6C2E22BA" w:rsidR="00A05934" w:rsidRPr="004A0030" w:rsidRDefault="00A05934" w:rsidP="009E0555">
      <w:pPr>
        <w:jc w:val="both"/>
        <w:rPr>
          <w:i/>
          <w:iCs/>
        </w:rPr>
      </w:pPr>
      <w:r w:rsidRPr="004A0030">
        <w:rPr>
          <w:i/>
          <w:iCs/>
        </w:rPr>
        <w:t xml:space="preserve">Les obstacles au dialogue apparaissent dans trois domaines ; d’abord le domaine socio-économique où les effets inégalitaires de la politique sont généralement occultés. Dans ce domaine cependant, Mahé observe une amélioration des compétences </w:t>
      </w:r>
      <w:r w:rsidR="00096648">
        <w:rPr>
          <w:i/>
          <w:iCs/>
        </w:rPr>
        <w:t xml:space="preserve">en France </w:t>
      </w:r>
      <w:r w:rsidRPr="004A0030">
        <w:rPr>
          <w:i/>
          <w:iCs/>
        </w:rPr>
        <w:t xml:space="preserve">depuis les réformes de l’Inra </w:t>
      </w:r>
      <w:r w:rsidR="00096648">
        <w:rPr>
          <w:i/>
          <w:iCs/>
        </w:rPr>
        <w:t>à la fin du dernier millénaire</w:t>
      </w:r>
      <w:r w:rsidRPr="004A0030">
        <w:rPr>
          <w:i/>
          <w:iCs/>
        </w:rPr>
        <w:t xml:space="preserve">. Deuxième domaine : celui de l’écologie dont l’importance est plus ou moins volontairement minimisée et que Mahé s’est efforcé de renforcer dans l’enseignement à l’Ecole agronomique de Rennes dès son retour des Etats-Unis. </w:t>
      </w:r>
      <w:r w:rsidR="00A7687E">
        <w:rPr>
          <w:i/>
          <w:iCs/>
        </w:rPr>
        <w:t xml:space="preserve">Il affirme que les externalités sont au cœur de l’agriculture. </w:t>
      </w:r>
      <w:r w:rsidRPr="004A0030">
        <w:rPr>
          <w:i/>
          <w:iCs/>
        </w:rPr>
        <w:t xml:space="preserve">Enfin, le domaine </w:t>
      </w:r>
      <w:r w:rsidR="003A34AC" w:rsidRPr="004A0030">
        <w:rPr>
          <w:i/>
          <w:iCs/>
        </w:rPr>
        <w:t>institutionnel</w:t>
      </w:r>
      <w:r w:rsidRPr="004A0030">
        <w:rPr>
          <w:i/>
          <w:iCs/>
        </w:rPr>
        <w:t xml:space="preserve"> auquel Mahé a pu être </w:t>
      </w:r>
      <w:r w:rsidR="003A34AC" w:rsidRPr="004A0030">
        <w:rPr>
          <w:i/>
          <w:iCs/>
        </w:rPr>
        <w:t>sensibilisé</w:t>
      </w:r>
      <w:r w:rsidRPr="004A0030">
        <w:rPr>
          <w:i/>
          <w:iCs/>
        </w:rPr>
        <w:t xml:space="preserve"> dans ses études par la lecture d</w:t>
      </w:r>
      <w:r w:rsidR="009050E5">
        <w:rPr>
          <w:i/>
          <w:iCs/>
        </w:rPr>
        <w:t>e l’œuvre de l</w:t>
      </w:r>
      <w:r w:rsidRPr="004A0030">
        <w:rPr>
          <w:i/>
          <w:iCs/>
        </w:rPr>
        <w:t>’économiste Douglass North, et qui s’est révélé l’obstacle majeur</w:t>
      </w:r>
      <w:r w:rsidR="00B92704">
        <w:rPr>
          <w:i/>
          <w:iCs/>
        </w:rPr>
        <w:t>, particulière</w:t>
      </w:r>
      <w:r w:rsidRPr="004A0030">
        <w:rPr>
          <w:i/>
          <w:iCs/>
        </w:rPr>
        <w:t xml:space="preserve">ment dans la réforme de la PAC. </w:t>
      </w:r>
    </w:p>
    <w:p w14:paraId="49898137" w14:textId="242E2CDE" w:rsidR="007C6A6F" w:rsidRDefault="00A05934" w:rsidP="009E0555">
      <w:pPr>
        <w:jc w:val="both"/>
        <w:rPr>
          <w:i/>
          <w:iCs/>
        </w:rPr>
      </w:pPr>
      <w:r w:rsidRPr="004A0030">
        <w:rPr>
          <w:i/>
          <w:iCs/>
        </w:rPr>
        <w:t xml:space="preserve">On peut penser que la pression de l’environnement forcera un jour le dialogue et fera basculer le rapport de forces. </w:t>
      </w:r>
      <w:r w:rsidR="007C6A6F">
        <w:rPr>
          <w:i/>
          <w:iCs/>
        </w:rPr>
        <w:t xml:space="preserve">Pour Louis-Pascal Mahé, la cohésion même de la PAC est en jeu tant l’Union a cédé aux exigences contradictoires des Etats-membres. La légitimité </w:t>
      </w:r>
      <w:r w:rsidR="007C6A6F">
        <w:rPr>
          <w:i/>
          <w:iCs/>
        </w:rPr>
        <w:lastRenderedPageBreak/>
        <w:t xml:space="preserve">de la PAC et son budget lui paraissent contestables dès lors qu’ils ne profitent qu’à une </w:t>
      </w:r>
      <w:proofErr w:type="gramStart"/>
      <w:r w:rsidR="007C6A6F">
        <w:rPr>
          <w:i/>
          <w:iCs/>
        </w:rPr>
        <w:t>minorité  de</w:t>
      </w:r>
      <w:proofErr w:type="gramEnd"/>
      <w:r w:rsidR="007C6A6F">
        <w:rPr>
          <w:i/>
          <w:iCs/>
        </w:rPr>
        <w:t xml:space="preserve"> grandes exploitations qui se contentent de pratiques conventionnelles. </w:t>
      </w:r>
    </w:p>
    <w:p w14:paraId="5FAD986E" w14:textId="22314BB4" w:rsidR="00A05934" w:rsidRPr="004A0030" w:rsidRDefault="00A05934" w:rsidP="009E0555">
      <w:pPr>
        <w:jc w:val="both"/>
        <w:rPr>
          <w:i/>
          <w:iCs/>
        </w:rPr>
      </w:pPr>
      <w:r w:rsidRPr="004A0030">
        <w:rPr>
          <w:i/>
          <w:iCs/>
        </w:rPr>
        <w:t xml:space="preserve">Mais rien n’assure que </w:t>
      </w:r>
      <w:r w:rsidR="007C6A6F">
        <w:rPr>
          <w:i/>
          <w:iCs/>
        </w:rPr>
        <w:t>l</w:t>
      </w:r>
      <w:r w:rsidRPr="004A0030">
        <w:rPr>
          <w:i/>
          <w:iCs/>
        </w:rPr>
        <w:t>e basculement interviendra avant l’é</w:t>
      </w:r>
      <w:r w:rsidR="003A34AC" w:rsidRPr="004A0030">
        <w:rPr>
          <w:i/>
          <w:iCs/>
        </w:rPr>
        <w:t xml:space="preserve">limination </w:t>
      </w:r>
      <w:r w:rsidR="009050E5">
        <w:rPr>
          <w:i/>
          <w:iCs/>
        </w:rPr>
        <w:t xml:space="preserve">en France et en Europe </w:t>
      </w:r>
      <w:r w:rsidRPr="004A0030">
        <w:rPr>
          <w:i/>
          <w:iCs/>
        </w:rPr>
        <w:t xml:space="preserve">des petites et moyennes exploitations, importantes pour la diversité et la complémentarité des activités agricoles et pour la vie des territoires. La diminution rapide et apparemment inexorable de la population </w:t>
      </w:r>
      <w:r w:rsidR="003A34AC" w:rsidRPr="004A0030">
        <w:rPr>
          <w:i/>
          <w:iCs/>
        </w:rPr>
        <w:t>agricole</w:t>
      </w:r>
      <w:r w:rsidRPr="004A0030">
        <w:rPr>
          <w:i/>
          <w:iCs/>
        </w:rPr>
        <w:t xml:space="preserve"> f</w:t>
      </w:r>
      <w:r w:rsidR="003A34AC" w:rsidRPr="004A0030">
        <w:rPr>
          <w:i/>
          <w:iCs/>
        </w:rPr>
        <w:t>ai</w:t>
      </w:r>
      <w:r w:rsidRPr="004A0030">
        <w:rPr>
          <w:i/>
          <w:iCs/>
        </w:rPr>
        <w:t xml:space="preserve">t craindre l’échec d’une politique agricole qui </w:t>
      </w:r>
      <w:r w:rsidR="00B92704">
        <w:rPr>
          <w:i/>
          <w:iCs/>
        </w:rPr>
        <w:t xml:space="preserve">proclamait </w:t>
      </w:r>
      <w:r w:rsidR="00096648">
        <w:rPr>
          <w:i/>
          <w:iCs/>
        </w:rPr>
        <w:t>le</w:t>
      </w:r>
      <w:r w:rsidR="003A34AC" w:rsidRPr="004A0030">
        <w:rPr>
          <w:i/>
          <w:iCs/>
        </w:rPr>
        <w:t xml:space="preserve"> maintien d’une agriculture familiale </w:t>
      </w:r>
      <w:r w:rsidR="009050E5">
        <w:rPr>
          <w:i/>
          <w:iCs/>
        </w:rPr>
        <w:t xml:space="preserve">supposée </w:t>
      </w:r>
      <w:r w:rsidR="003A34AC" w:rsidRPr="004A0030">
        <w:rPr>
          <w:i/>
          <w:iCs/>
        </w:rPr>
        <w:t>durable.</w:t>
      </w:r>
    </w:p>
    <w:p w14:paraId="444CD5D1" w14:textId="4ED5CF03" w:rsidR="004B73A8" w:rsidRDefault="00C40498" w:rsidP="009E0555">
      <w:pPr>
        <w:jc w:val="both"/>
        <w:rPr>
          <w:i/>
          <w:iCs/>
        </w:rPr>
      </w:pPr>
      <w:r>
        <w:rPr>
          <w:i/>
          <w:iCs/>
        </w:rPr>
        <w:t xml:space="preserve">Le texte qui suit </w:t>
      </w:r>
      <w:r w:rsidR="00317862">
        <w:rPr>
          <w:i/>
          <w:iCs/>
        </w:rPr>
        <w:t>(15 pages)</w:t>
      </w:r>
      <w:r w:rsidR="00B84B80">
        <w:rPr>
          <w:i/>
          <w:iCs/>
        </w:rPr>
        <w:t>, que L-P Mahé a eu l’obligeance de relire,</w:t>
      </w:r>
      <w:r w:rsidR="00317862">
        <w:rPr>
          <w:i/>
          <w:iCs/>
        </w:rPr>
        <w:t xml:space="preserve"> transcrit </w:t>
      </w:r>
      <w:r w:rsidR="00B84B80">
        <w:rPr>
          <w:i/>
          <w:iCs/>
        </w:rPr>
        <w:t xml:space="preserve">son témoignage </w:t>
      </w:r>
      <w:r w:rsidR="00317862">
        <w:rPr>
          <w:i/>
          <w:iCs/>
        </w:rPr>
        <w:t xml:space="preserve">en résumé </w:t>
      </w:r>
      <w:r w:rsidR="00AE6E2F">
        <w:rPr>
          <w:i/>
          <w:iCs/>
        </w:rPr>
        <w:t xml:space="preserve">et </w:t>
      </w:r>
      <w:r w:rsidR="001044DA">
        <w:rPr>
          <w:i/>
          <w:iCs/>
        </w:rPr>
        <w:t>avec sous-titres</w:t>
      </w:r>
      <w:r w:rsidR="00B84B80">
        <w:rPr>
          <w:i/>
          <w:iCs/>
        </w:rPr>
        <w:t xml:space="preserve">, en prenant soin de faire référence aux </w:t>
      </w:r>
      <w:r w:rsidR="00AE6E2F">
        <w:rPr>
          <w:i/>
          <w:iCs/>
        </w:rPr>
        <w:t>pages du texte original.</w:t>
      </w:r>
      <w:r w:rsidR="00317862">
        <w:rPr>
          <w:i/>
          <w:iCs/>
        </w:rPr>
        <w:t xml:space="preserve"> </w:t>
      </w:r>
      <w:r w:rsidR="00EC42AF">
        <w:rPr>
          <w:i/>
          <w:iCs/>
        </w:rPr>
        <w:t>Disponible en ligne,</w:t>
      </w:r>
      <w:r w:rsidR="00EC42AF" w:rsidRPr="000D2858">
        <w:rPr>
          <w:i/>
          <w:iCs/>
        </w:rPr>
        <w:t xml:space="preserve"> </w:t>
      </w:r>
      <w:r w:rsidR="004A0030">
        <w:rPr>
          <w:i/>
          <w:iCs/>
        </w:rPr>
        <w:t>ce dernier</w:t>
      </w:r>
      <w:r w:rsidR="00317862">
        <w:rPr>
          <w:i/>
          <w:iCs/>
        </w:rPr>
        <w:t xml:space="preserve"> (40 pages)</w:t>
      </w:r>
      <w:r w:rsidR="00D14E45">
        <w:rPr>
          <w:i/>
          <w:iCs/>
        </w:rPr>
        <w:t xml:space="preserve"> </w:t>
      </w:r>
      <w:r w:rsidR="009B3C0F" w:rsidRPr="000D2858">
        <w:rPr>
          <w:i/>
          <w:iCs/>
        </w:rPr>
        <w:t>est le t</w:t>
      </w:r>
      <w:r w:rsidR="004B73A8" w:rsidRPr="000D2858">
        <w:rPr>
          <w:i/>
          <w:iCs/>
        </w:rPr>
        <w:t xml:space="preserve">émoignage recueilli </w:t>
      </w:r>
      <w:r w:rsidR="006F2A66">
        <w:rPr>
          <w:i/>
          <w:iCs/>
        </w:rPr>
        <w:t>en</w:t>
      </w:r>
      <w:r w:rsidR="004B73A8" w:rsidRPr="000D2858">
        <w:rPr>
          <w:i/>
          <w:iCs/>
        </w:rPr>
        <w:t xml:space="preserve"> 2021 par </w:t>
      </w:r>
      <w:proofErr w:type="spellStart"/>
      <w:r w:rsidR="004B73A8" w:rsidRPr="000D2858">
        <w:rPr>
          <w:i/>
          <w:iCs/>
        </w:rPr>
        <w:t>Egizio</w:t>
      </w:r>
      <w:proofErr w:type="spellEnd"/>
      <w:r w:rsidR="004B73A8" w:rsidRPr="000D2858">
        <w:rPr>
          <w:i/>
          <w:iCs/>
        </w:rPr>
        <w:t xml:space="preserve"> </w:t>
      </w:r>
      <w:proofErr w:type="spellStart"/>
      <w:r w:rsidR="004B73A8" w:rsidRPr="000D2858">
        <w:rPr>
          <w:i/>
          <w:iCs/>
        </w:rPr>
        <w:t>Valceschini</w:t>
      </w:r>
      <w:proofErr w:type="spellEnd"/>
      <w:r w:rsidR="004B73A8" w:rsidRPr="000D2858">
        <w:rPr>
          <w:i/>
          <w:iCs/>
        </w:rPr>
        <w:t xml:space="preserve">, ancien économiste au département SAD </w:t>
      </w:r>
      <w:r w:rsidR="00317862">
        <w:rPr>
          <w:i/>
          <w:iCs/>
        </w:rPr>
        <w:t xml:space="preserve">(Systèmes Agricoles et Développement) </w:t>
      </w:r>
      <w:r w:rsidR="004B73A8" w:rsidRPr="000D2858">
        <w:rPr>
          <w:i/>
          <w:iCs/>
        </w:rPr>
        <w:t>de l’</w:t>
      </w:r>
      <w:proofErr w:type="spellStart"/>
      <w:r w:rsidR="004B73A8" w:rsidRPr="000D2858">
        <w:rPr>
          <w:i/>
          <w:iCs/>
        </w:rPr>
        <w:t>INRAe</w:t>
      </w:r>
      <w:proofErr w:type="spellEnd"/>
      <w:r w:rsidR="004B73A8" w:rsidRPr="000D2858">
        <w:rPr>
          <w:i/>
          <w:iCs/>
        </w:rPr>
        <w:t xml:space="preserve">, et </w:t>
      </w:r>
      <w:r w:rsidR="004B73A8" w:rsidRPr="00DA276B">
        <w:rPr>
          <w:i/>
          <w:iCs/>
        </w:rPr>
        <w:t>Pierre Cornu</w:t>
      </w:r>
      <w:r w:rsidR="00DA276B" w:rsidRPr="00DA276B">
        <w:rPr>
          <w:i/>
          <w:iCs/>
        </w:rPr>
        <w:t>, professeur d’histoire</w:t>
      </w:r>
      <w:r w:rsidR="001044DA">
        <w:rPr>
          <w:i/>
          <w:iCs/>
        </w:rPr>
        <w:t xml:space="preserve">. </w:t>
      </w:r>
    </w:p>
    <w:p w14:paraId="33985C34" w14:textId="77777777" w:rsidR="003A34AC" w:rsidRDefault="003A34AC" w:rsidP="009E0555">
      <w:pPr>
        <w:jc w:val="both"/>
        <w:rPr>
          <w:i/>
          <w:iCs/>
        </w:rPr>
      </w:pPr>
    </w:p>
    <w:p w14:paraId="09B9E589" w14:textId="716BE007" w:rsidR="00EB622C" w:rsidRDefault="00EB622C" w:rsidP="00EB622C">
      <w:pPr>
        <w:spacing w:after="0"/>
        <w:jc w:val="right"/>
        <w:rPr>
          <w:i/>
          <w:iCs/>
        </w:rPr>
      </w:pPr>
      <w:r>
        <w:rPr>
          <w:i/>
          <w:iCs/>
        </w:rPr>
        <w:t xml:space="preserve">Armand </w:t>
      </w:r>
      <w:proofErr w:type="spellStart"/>
      <w:r>
        <w:rPr>
          <w:i/>
          <w:iCs/>
        </w:rPr>
        <w:t>Rioust</w:t>
      </w:r>
      <w:proofErr w:type="spellEnd"/>
      <w:r>
        <w:rPr>
          <w:i/>
          <w:iCs/>
        </w:rPr>
        <w:t xml:space="preserve"> de Largentaye</w:t>
      </w:r>
    </w:p>
    <w:p w14:paraId="556CA096" w14:textId="773CA642" w:rsidR="00EB622C" w:rsidRPr="000D2858" w:rsidRDefault="00EB622C" w:rsidP="00EB622C">
      <w:pPr>
        <w:jc w:val="right"/>
        <w:rPr>
          <w:i/>
          <w:iCs/>
        </w:rPr>
      </w:pPr>
      <w:r>
        <w:rPr>
          <w:i/>
          <w:iCs/>
        </w:rPr>
        <w:t xml:space="preserve">Vice-président, </w:t>
      </w:r>
      <w:proofErr w:type="spellStart"/>
      <w:r>
        <w:rPr>
          <w:i/>
          <w:iCs/>
        </w:rPr>
        <w:t>Agrosbreizh</w:t>
      </w:r>
      <w:proofErr w:type="spellEnd"/>
    </w:p>
    <w:p w14:paraId="35D964DE" w14:textId="32F2A3DC" w:rsidR="006F2A66" w:rsidRDefault="006F2A66">
      <w:pPr>
        <w:rPr>
          <w:b/>
          <w:bCs/>
        </w:rPr>
      </w:pPr>
      <w:r>
        <w:rPr>
          <w:b/>
          <w:bCs/>
        </w:rPr>
        <w:br w:type="page"/>
      </w:r>
    </w:p>
    <w:p w14:paraId="47CBD2E2" w14:textId="40EBEC6A" w:rsidR="004B73A8" w:rsidRDefault="00EB622C" w:rsidP="00EB622C">
      <w:pPr>
        <w:jc w:val="center"/>
        <w:rPr>
          <w:b/>
          <w:bCs/>
        </w:rPr>
      </w:pPr>
      <w:r>
        <w:rPr>
          <w:b/>
          <w:bCs/>
        </w:rPr>
        <w:lastRenderedPageBreak/>
        <w:t>Témoignage de Louis-Pascal Mahé (résumé)</w:t>
      </w:r>
    </w:p>
    <w:p w14:paraId="5BEB6EFF" w14:textId="77777777" w:rsidR="001A6F78" w:rsidRDefault="001A6F78" w:rsidP="00EB622C">
      <w:pPr>
        <w:jc w:val="center"/>
        <w:rPr>
          <w:b/>
          <w:bCs/>
        </w:rPr>
      </w:pPr>
    </w:p>
    <w:p w14:paraId="569F79F2" w14:textId="2CBBFB36" w:rsidR="002722BB" w:rsidRPr="00717A8D" w:rsidRDefault="002722BB" w:rsidP="008039FB">
      <w:pPr>
        <w:rPr>
          <w:b/>
          <w:bCs/>
        </w:rPr>
      </w:pPr>
      <w:r>
        <w:rPr>
          <w:b/>
          <w:bCs/>
        </w:rPr>
        <w:t>Expéri</w:t>
      </w:r>
      <w:r w:rsidRPr="00717A8D">
        <w:rPr>
          <w:b/>
          <w:bCs/>
        </w:rPr>
        <w:t xml:space="preserve">ence </w:t>
      </w:r>
      <w:r>
        <w:rPr>
          <w:b/>
          <w:bCs/>
        </w:rPr>
        <w:t xml:space="preserve">universitaire </w:t>
      </w:r>
      <w:r w:rsidRPr="00717A8D">
        <w:rPr>
          <w:b/>
          <w:bCs/>
        </w:rPr>
        <w:t>américaine</w:t>
      </w:r>
    </w:p>
    <w:p w14:paraId="3F161D2B" w14:textId="0CFF318E" w:rsidR="002722BB" w:rsidRDefault="00C5243B" w:rsidP="002722BB">
      <w:pPr>
        <w:jc w:val="both"/>
      </w:pPr>
      <w:r>
        <w:t>J</w:t>
      </w:r>
      <w:r w:rsidR="002722BB">
        <w:t xml:space="preserve">’avais le désir de voir l’économie comme une science, donc appuyée sur la formalisation. On observe, on fait des hypothèses et on les confronte aux faits. </w:t>
      </w:r>
      <w:r w:rsidR="00172D21">
        <w:t>Lors de mes études en France, j’observais que l</w:t>
      </w:r>
      <w:r w:rsidR="002722BB">
        <w:t xml:space="preserve">es constructions théoriques déductives étaient allègrement mêlées aux recommandations de politique économique, sans que l’on sache où s’arrêtait la science et où commençait l’art de conseiller le prince. Par exemple, le livre d’excellence pour préparer l’agrégation d’économie était le manuel de Raymond Barre, </w:t>
      </w:r>
      <w:r w:rsidR="002722BB" w:rsidRPr="004B73A8">
        <w:rPr>
          <w:i/>
          <w:iCs/>
        </w:rPr>
        <w:t>Economie politique</w:t>
      </w:r>
      <w:r w:rsidR="002722BB">
        <w:t>, très connu et très complet ; mais Raymond Barre ne maîtrisait pas l’outil mathématique</w:t>
      </w:r>
      <w:r w:rsidR="004862FC">
        <w:t>.</w:t>
      </w:r>
      <w:r w:rsidR="002722BB">
        <w:t xml:space="preserve"> </w:t>
      </w:r>
      <w:r w:rsidR="004862FC">
        <w:t>P</w:t>
      </w:r>
      <w:r w:rsidR="002722BB">
        <w:t>our l’étudiant que j’étais, son ouvrage était assez frustrant : je ne voyais pas ce qui était affirmé et ce qui avait été démontré. (</w:t>
      </w:r>
      <w:proofErr w:type="gramStart"/>
      <w:r w:rsidR="002722BB">
        <w:t>page</w:t>
      </w:r>
      <w:proofErr w:type="gramEnd"/>
      <w:r w:rsidR="002722BB">
        <w:t xml:space="preserve"> 9)</w:t>
      </w:r>
    </w:p>
    <w:p w14:paraId="4E69D5CF" w14:textId="37FA319E" w:rsidR="002722BB" w:rsidRDefault="004862FC" w:rsidP="002722BB">
      <w:pPr>
        <w:jc w:val="both"/>
      </w:pPr>
      <w:r>
        <w:t>C</w:t>
      </w:r>
      <w:r w:rsidR="002722BB">
        <w:t xml:space="preserve">e constat m’a conduit à désirer une formation complémentaire orientée vers la théorie économique formalisée et vers les techniques statistiques de l’économétrie.  </w:t>
      </w:r>
      <w:r w:rsidR="00EB622C">
        <w:t>J</w:t>
      </w:r>
      <w:r w:rsidR="002722BB">
        <w:t xml:space="preserve">’avais mon nez dans les manuels américains, en particulier ceux de microéconomie et d’analyse du secteur agricole. C’étaient des livres assez classiques d’analyse de la production, des marchés et des prix, </w:t>
      </w:r>
      <w:r w:rsidR="00172D21">
        <w:t>non trop</w:t>
      </w:r>
      <w:r w:rsidR="002722BB">
        <w:t xml:space="preserve"> ambitieux sur le plan mathématique mais tournés vers les problèmes concrets. </w:t>
      </w:r>
      <w:r w:rsidR="00172D21">
        <w:t xml:space="preserve">J’étais encouragé par </w:t>
      </w:r>
      <w:r w:rsidR="002722BB">
        <w:t>Louis Malassis</w:t>
      </w:r>
      <w:r w:rsidR="000D2858">
        <w:t xml:space="preserve"> (191</w:t>
      </w:r>
      <w:r w:rsidR="00B10D5E">
        <w:t>8</w:t>
      </w:r>
      <w:r w:rsidR="000D2858">
        <w:t>-200</w:t>
      </w:r>
      <w:r w:rsidR="00B10D5E">
        <w:t>7</w:t>
      </w:r>
      <w:r w:rsidR="000D2858">
        <w:t xml:space="preserve">, professeur d’économie à l’Agro de Rennes, premier président de la Société française d’économie rurale, </w:t>
      </w:r>
      <w:proofErr w:type="spellStart"/>
      <w:r w:rsidR="000D2858">
        <w:t>Sfer</w:t>
      </w:r>
      <w:proofErr w:type="spellEnd"/>
      <w:r w:rsidR="000D2858">
        <w:t>)</w:t>
      </w:r>
      <w:r w:rsidR="002722BB">
        <w:t>, Denis Bergmann</w:t>
      </w:r>
      <w:r>
        <w:rPr>
          <w:rStyle w:val="FootnoteReference"/>
        </w:rPr>
        <w:footnoteReference w:id="3"/>
      </w:r>
      <w:r w:rsidR="002722BB">
        <w:t xml:space="preserve"> et Michel Petit</w:t>
      </w:r>
      <w:r w:rsidR="000D2858">
        <w:t xml:space="preserve"> (agroéconomiste Inra formé aux Etats-Unis, ancien directeur de l’Agriculture à la Banque mondiale)</w:t>
      </w:r>
      <w:r w:rsidR="002722BB">
        <w:t xml:space="preserve">, ces deux derniers recommandant </w:t>
      </w:r>
      <w:r w:rsidR="004B73A8">
        <w:t xml:space="preserve">l’université du </w:t>
      </w:r>
      <w:r w:rsidR="002722BB">
        <w:t>Minnesota plutôt qu</w:t>
      </w:r>
      <w:r w:rsidR="004B73A8">
        <w:t>e celle d</w:t>
      </w:r>
      <w:r w:rsidR="002722BB">
        <w:t>’Iowa. (</w:t>
      </w:r>
      <w:proofErr w:type="gramStart"/>
      <w:r w:rsidR="002722BB">
        <w:t>page</w:t>
      </w:r>
      <w:proofErr w:type="gramEnd"/>
      <w:r w:rsidR="002722BB">
        <w:t xml:space="preserve"> 10)</w:t>
      </w:r>
    </w:p>
    <w:p w14:paraId="2CEA8697" w14:textId="43A135CF" w:rsidR="00D42CF6" w:rsidRDefault="00F12B30" w:rsidP="002722BB">
      <w:pPr>
        <w:jc w:val="both"/>
      </w:pPr>
      <w:r>
        <w:t>Le grand avantage d</w:t>
      </w:r>
      <w:r w:rsidR="00D42CF6">
        <w:t>u</w:t>
      </w:r>
      <w:r>
        <w:t xml:space="preserve"> département d’économie agricole de Saint-Paul</w:t>
      </w:r>
      <w:r w:rsidR="00D42CF6">
        <w:t xml:space="preserve"> (Minnesota)</w:t>
      </w:r>
      <w:r>
        <w:t xml:space="preserve"> était son étroite collaboration avec le département d’économie générale de Minneapolis, la ville jumelle de l’autre côté du Mississippi. </w:t>
      </w:r>
      <w:r w:rsidR="002722BB">
        <w:t xml:space="preserve">Seuls les cours appliqués et spécialisés se prenaient à </w:t>
      </w:r>
      <w:r>
        <w:t>Saint Paul</w:t>
      </w:r>
      <w:r w:rsidR="002722BB">
        <w:t xml:space="preserve">. </w:t>
      </w:r>
      <w:r>
        <w:t>Tous les cours</w:t>
      </w:r>
      <w:r w:rsidR="00D42CF6">
        <w:t xml:space="preserve"> </w:t>
      </w:r>
      <w:r>
        <w:t>de théorie économique générale étaient donnés</w:t>
      </w:r>
      <w:r w:rsidR="003E16E6">
        <w:t xml:space="preserve"> </w:t>
      </w:r>
      <w:r w:rsidR="00D42CF6">
        <w:t>à Minneapolis</w:t>
      </w:r>
      <w:r>
        <w:t>, même pour les étudiants inscrits en PhD d’économie agricole dans le département du même nom.</w:t>
      </w:r>
      <w:r w:rsidR="00D42CF6">
        <w:t xml:space="preserve"> </w:t>
      </w:r>
      <w:r w:rsidR="002722BB">
        <w:t xml:space="preserve">Le niveau général des cours s’en ressentait. </w:t>
      </w:r>
      <w:r w:rsidR="00D42CF6">
        <w:t>(</w:t>
      </w:r>
      <w:proofErr w:type="gramStart"/>
      <w:r w:rsidR="00D42CF6">
        <w:t>page</w:t>
      </w:r>
      <w:proofErr w:type="gramEnd"/>
      <w:r w:rsidR="00D42CF6">
        <w:t xml:space="preserve"> 10)</w:t>
      </w:r>
    </w:p>
    <w:p w14:paraId="5156E2F5" w14:textId="70D347CE" w:rsidR="008003DD" w:rsidRDefault="00D42CF6" w:rsidP="002722BB">
      <w:pPr>
        <w:jc w:val="both"/>
      </w:pPr>
      <w:r>
        <w:t>J</w:t>
      </w:r>
      <w:r w:rsidR="002722BB">
        <w:t xml:space="preserve">’ai tenté d’en retenir la leçon : </w:t>
      </w:r>
      <w:r w:rsidR="00F12B30">
        <w:t xml:space="preserve">éviter de </w:t>
      </w:r>
      <w:r w:rsidR="002722BB">
        <w:t xml:space="preserve">développer des matières nouvelles </w:t>
      </w:r>
      <w:r w:rsidR="00F12B30">
        <w:t>(</w:t>
      </w:r>
      <w:r w:rsidR="002722BB">
        <w:t xml:space="preserve">ressources humaines ou humanités </w:t>
      </w:r>
      <w:r w:rsidR="00F12B30">
        <w:t>…</w:t>
      </w:r>
      <w:r w:rsidR="002722BB">
        <w:t xml:space="preserve">) dans le département d’économie rurale, car cette situation </w:t>
      </w:r>
      <w:r w:rsidR="002722BB">
        <w:lastRenderedPageBreak/>
        <w:t>éloigne ces enseignants de leur lait maternel. Ils peuvent perdre les stimulations de leur institution d’origine et rater les avancées dans leur disciplin</w:t>
      </w:r>
      <w:r w:rsidR="008003DD">
        <w:t>e. (</w:t>
      </w:r>
      <w:proofErr w:type="gramStart"/>
      <w:r w:rsidR="008003DD">
        <w:t>page</w:t>
      </w:r>
      <w:proofErr w:type="gramEnd"/>
      <w:r w:rsidR="008003DD">
        <w:t xml:space="preserve"> 11)</w:t>
      </w:r>
      <w:r w:rsidR="002722BB">
        <w:t xml:space="preserve"> </w:t>
      </w:r>
    </w:p>
    <w:p w14:paraId="6CD15AA8" w14:textId="4CAD923C" w:rsidR="008003DD" w:rsidRDefault="002722BB" w:rsidP="006B719F">
      <w:pPr>
        <w:jc w:val="both"/>
      </w:pPr>
      <w:r>
        <w:t xml:space="preserve">Avec le cours de Jim </w:t>
      </w:r>
      <w:proofErr w:type="spellStart"/>
      <w:r>
        <w:t>Houck</w:t>
      </w:r>
      <w:proofErr w:type="spellEnd"/>
      <w:r>
        <w:t xml:space="preserve">, </w:t>
      </w:r>
      <w:r w:rsidRPr="00E52873">
        <w:rPr>
          <w:i/>
          <w:iCs/>
        </w:rPr>
        <w:t xml:space="preserve">Eléments of agricultural </w:t>
      </w:r>
      <w:proofErr w:type="spellStart"/>
      <w:r w:rsidRPr="00E52873">
        <w:rPr>
          <w:i/>
          <w:iCs/>
        </w:rPr>
        <w:t>trade</w:t>
      </w:r>
      <w:proofErr w:type="spellEnd"/>
      <w:r w:rsidRPr="00E52873">
        <w:rPr>
          <w:i/>
          <w:iCs/>
        </w:rPr>
        <w:t xml:space="preserve"> </w:t>
      </w:r>
      <w:proofErr w:type="spellStart"/>
      <w:r w:rsidRPr="00E52873">
        <w:rPr>
          <w:i/>
          <w:iCs/>
        </w:rPr>
        <w:t>policies</w:t>
      </w:r>
      <w:proofErr w:type="spellEnd"/>
      <w:r>
        <w:t xml:space="preserve"> </w:t>
      </w:r>
      <w:r w:rsidR="004B73A8">
        <w:t xml:space="preserve">- </w:t>
      </w:r>
      <w:r>
        <w:t>McMillan 1986</w:t>
      </w:r>
      <w:r w:rsidR="004B73A8">
        <w:t xml:space="preserve"> -</w:t>
      </w:r>
      <w:r>
        <w:t>, et ceux de Martin Abel</w:t>
      </w:r>
      <w:r w:rsidR="008003DD">
        <w:t>,</w:t>
      </w:r>
      <w:r>
        <w:t xml:space="preserve"> j’ai vraiment compris les instruments qu’utilisait la P</w:t>
      </w:r>
      <w:r w:rsidR="00FD4BBC">
        <w:t>olitique agricole commune (P</w:t>
      </w:r>
      <w:r>
        <w:t>AC</w:t>
      </w:r>
      <w:r w:rsidR="00FD4BBC">
        <w:t>)</w:t>
      </w:r>
      <w:r>
        <w:t xml:space="preserve">, prélèvements et restitutions variables, droits de douane, contingents. Ces cours m’ont beaucoup stimulé dans les analyses critiques ultérieures que j’ai faites de la PAC. </w:t>
      </w:r>
      <w:r w:rsidR="008003DD">
        <w:t>(</w:t>
      </w:r>
      <w:proofErr w:type="gramStart"/>
      <w:r w:rsidR="008003DD">
        <w:t>page</w:t>
      </w:r>
      <w:proofErr w:type="gramEnd"/>
      <w:r w:rsidR="008003DD">
        <w:t xml:space="preserve"> 11)</w:t>
      </w:r>
    </w:p>
    <w:p w14:paraId="4D3C4236" w14:textId="3987FFE7" w:rsidR="002722BB" w:rsidRPr="006B719F" w:rsidRDefault="008003DD" w:rsidP="006B719F">
      <w:pPr>
        <w:pStyle w:val="FootnoteText"/>
        <w:spacing w:after="160" w:line="278" w:lineRule="auto"/>
        <w:jc w:val="both"/>
        <w:rPr>
          <w:sz w:val="24"/>
          <w:szCs w:val="24"/>
        </w:rPr>
      </w:pPr>
      <w:r w:rsidRPr="006B719F">
        <w:rPr>
          <w:sz w:val="24"/>
          <w:szCs w:val="24"/>
        </w:rPr>
        <w:t xml:space="preserve">Un autre professeur réputé était </w:t>
      </w:r>
      <w:r w:rsidR="002722BB" w:rsidRPr="006B719F">
        <w:rPr>
          <w:sz w:val="24"/>
          <w:szCs w:val="24"/>
        </w:rPr>
        <w:t xml:space="preserve">Vernon W. </w:t>
      </w:r>
      <w:proofErr w:type="spellStart"/>
      <w:r w:rsidR="002722BB" w:rsidRPr="006B719F">
        <w:rPr>
          <w:sz w:val="24"/>
          <w:szCs w:val="24"/>
        </w:rPr>
        <w:t>Ruttan</w:t>
      </w:r>
      <w:proofErr w:type="spellEnd"/>
      <w:r w:rsidRPr="006B719F">
        <w:rPr>
          <w:sz w:val="24"/>
          <w:szCs w:val="24"/>
        </w:rPr>
        <w:t>. Historien de formation</w:t>
      </w:r>
      <w:r w:rsidR="002722BB" w:rsidRPr="006B719F">
        <w:rPr>
          <w:sz w:val="24"/>
          <w:szCs w:val="24"/>
        </w:rPr>
        <w:t xml:space="preserve">, </w:t>
      </w:r>
      <w:r w:rsidRPr="006B719F">
        <w:rPr>
          <w:sz w:val="24"/>
          <w:szCs w:val="24"/>
        </w:rPr>
        <w:t>il</w:t>
      </w:r>
      <w:r w:rsidR="002722BB" w:rsidRPr="006B719F">
        <w:rPr>
          <w:sz w:val="24"/>
          <w:szCs w:val="24"/>
        </w:rPr>
        <w:t xml:space="preserve"> enseignait le développement</w:t>
      </w:r>
      <w:r w:rsidRPr="006B719F">
        <w:rPr>
          <w:sz w:val="24"/>
          <w:szCs w:val="24"/>
        </w:rPr>
        <w:t>. Il</w:t>
      </w:r>
      <w:r w:rsidR="00D42CF6" w:rsidRPr="006B719F">
        <w:rPr>
          <w:sz w:val="24"/>
          <w:szCs w:val="24"/>
        </w:rPr>
        <w:t xml:space="preserve"> </w:t>
      </w:r>
      <w:r w:rsidRPr="006B719F">
        <w:rPr>
          <w:sz w:val="24"/>
          <w:szCs w:val="24"/>
        </w:rPr>
        <w:t>était connu pour avoir introduit la théorie de l’innovation induite dans l’économie du développement</w:t>
      </w:r>
      <w:r w:rsidR="006B719F">
        <w:rPr>
          <w:sz w:val="24"/>
          <w:szCs w:val="24"/>
        </w:rPr>
        <w:t>, innovation qui, s</w:t>
      </w:r>
      <w:r w:rsidR="006B719F" w:rsidRPr="006B719F">
        <w:rPr>
          <w:sz w:val="24"/>
          <w:szCs w:val="24"/>
        </w:rPr>
        <w:t xml:space="preserve">elon </w:t>
      </w:r>
      <w:r w:rsidR="006B719F">
        <w:rPr>
          <w:sz w:val="24"/>
          <w:szCs w:val="24"/>
        </w:rPr>
        <w:t>lui</w:t>
      </w:r>
      <w:r w:rsidR="006B719F" w:rsidRPr="006B719F">
        <w:rPr>
          <w:sz w:val="24"/>
          <w:szCs w:val="24"/>
        </w:rPr>
        <w:t xml:space="preserve">, n’est ni extérieure </w:t>
      </w:r>
      <w:r w:rsidR="006B719F">
        <w:rPr>
          <w:sz w:val="24"/>
          <w:szCs w:val="24"/>
        </w:rPr>
        <w:t xml:space="preserve">à l’agriculture </w:t>
      </w:r>
      <w:r w:rsidR="006B719F" w:rsidRPr="006B719F">
        <w:rPr>
          <w:sz w:val="24"/>
          <w:szCs w:val="24"/>
        </w:rPr>
        <w:t>ni isolée</w:t>
      </w:r>
      <w:r w:rsidR="006B719F">
        <w:rPr>
          <w:sz w:val="24"/>
          <w:szCs w:val="24"/>
        </w:rPr>
        <w:t xml:space="preserve"> mais plutôt </w:t>
      </w:r>
      <w:r w:rsidR="006B719F" w:rsidRPr="006B719F">
        <w:rPr>
          <w:sz w:val="24"/>
          <w:szCs w:val="24"/>
        </w:rPr>
        <w:t xml:space="preserve">induite par l’évolution des techniques, de l’environnement économique et des institutions. </w:t>
      </w:r>
      <w:proofErr w:type="spellStart"/>
      <w:r w:rsidR="006B719F">
        <w:rPr>
          <w:sz w:val="24"/>
          <w:szCs w:val="24"/>
        </w:rPr>
        <w:t>Ruttan</w:t>
      </w:r>
      <w:proofErr w:type="spellEnd"/>
      <w:r w:rsidR="006B719F">
        <w:rPr>
          <w:sz w:val="24"/>
          <w:szCs w:val="24"/>
        </w:rPr>
        <w:t xml:space="preserve"> </w:t>
      </w:r>
      <w:r w:rsidR="002722BB" w:rsidRPr="006B719F">
        <w:rPr>
          <w:sz w:val="24"/>
          <w:szCs w:val="24"/>
        </w:rPr>
        <w:t xml:space="preserve">a écrit un livre avec </w:t>
      </w:r>
      <w:proofErr w:type="spellStart"/>
      <w:r w:rsidR="002722BB" w:rsidRPr="006B719F">
        <w:rPr>
          <w:sz w:val="24"/>
          <w:szCs w:val="24"/>
        </w:rPr>
        <w:t>Yujiro</w:t>
      </w:r>
      <w:proofErr w:type="spellEnd"/>
      <w:r w:rsidR="002722BB" w:rsidRPr="006B719F">
        <w:rPr>
          <w:sz w:val="24"/>
          <w:szCs w:val="24"/>
        </w:rPr>
        <w:t xml:space="preserve"> </w:t>
      </w:r>
      <w:proofErr w:type="spellStart"/>
      <w:r w:rsidR="002722BB" w:rsidRPr="006B719F">
        <w:rPr>
          <w:sz w:val="24"/>
          <w:szCs w:val="24"/>
        </w:rPr>
        <w:t>Hayami</w:t>
      </w:r>
      <w:proofErr w:type="spellEnd"/>
      <w:r w:rsidR="002722BB" w:rsidRPr="006B719F">
        <w:rPr>
          <w:sz w:val="24"/>
          <w:szCs w:val="24"/>
        </w:rPr>
        <w:t xml:space="preserve"> dont je coordonnerai la traduction avec Yves Léon et plusieurs collègues Inra (</w:t>
      </w:r>
      <w:r w:rsidR="002722BB" w:rsidRPr="006B719F">
        <w:rPr>
          <w:i/>
          <w:iCs/>
          <w:sz w:val="24"/>
          <w:szCs w:val="24"/>
        </w:rPr>
        <w:t>Agriculture et développement économique, une perspective internationale</w:t>
      </w:r>
      <w:r w:rsidR="002722BB" w:rsidRPr="006B719F">
        <w:rPr>
          <w:sz w:val="24"/>
          <w:szCs w:val="24"/>
        </w:rPr>
        <w:t>, Inra éditions, 1998)</w:t>
      </w:r>
      <w:r w:rsidR="006B719F">
        <w:rPr>
          <w:sz w:val="24"/>
          <w:szCs w:val="24"/>
        </w:rPr>
        <w:t>.</w:t>
      </w:r>
      <w:r w:rsidR="006B719F" w:rsidRPr="006B719F">
        <w:rPr>
          <w:rStyle w:val="FootnoteReference"/>
          <w:sz w:val="24"/>
          <w:szCs w:val="24"/>
        </w:rPr>
        <w:footnoteReference w:id="4"/>
      </w:r>
      <w:r w:rsidR="002722BB" w:rsidRPr="006B719F">
        <w:rPr>
          <w:sz w:val="24"/>
          <w:szCs w:val="24"/>
        </w:rPr>
        <w:t> (page 11)</w:t>
      </w:r>
    </w:p>
    <w:p w14:paraId="78C9F2EE" w14:textId="3541AA3F" w:rsidR="00E54C31" w:rsidRDefault="002722BB" w:rsidP="00E54C31">
      <w:pPr>
        <w:jc w:val="both"/>
      </w:pPr>
      <w:r>
        <w:t xml:space="preserve">Lee Martin, ancien pilote pendant la guerre 39-45 qui fut mon </w:t>
      </w:r>
      <w:proofErr w:type="spellStart"/>
      <w:r w:rsidRPr="00717A8D">
        <w:rPr>
          <w:i/>
          <w:iCs/>
        </w:rPr>
        <w:t>advisor</w:t>
      </w:r>
      <w:proofErr w:type="spellEnd"/>
      <w:r>
        <w:t xml:space="preserve">, enseignait l’économie des ressources et m’a ouvert les yeux dans ce domaine. Il évoquait les contributions de </w:t>
      </w:r>
      <w:r w:rsidR="00A211C2">
        <w:t xml:space="preserve">Ronald </w:t>
      </w:r>
      <w:proofErr w:type="spellStart"/>
      <w:r>
        <w:t>Coase</w:t>
      </w:r>
      <w:proofErr w:type="spellEnd"/>
      <w:r>
        <w:t xml:space="preserve"> (</w:t>
      </w:r>
      <w:r w:rsidR="00A211C2">
        <w:t xml:space="preserve">1910-2013, fondateur de la théorie des </w:t>
      </w:r>
      <w:r>
        <w:t xml:space="preserve">coûts de transactions) </w:t>
      </w:r>
      <w:r w:rsidR="000D2858">
        <w:t>et</w:t>
      </w:r>
      <w:r>
        <w:t xml:space="preserve"> de Douglas</w:t>
      </w:r>
      <w:r w:rsidR="00A211C2">
        <w:t>s</w:t>
      </w:r>
      <w:r>
        <w:t xml:space="preserve"> North</w:t>
      </w:r>
      <w:r w:rsidR="00A211C2">
        <w:t xml:space="preserve"> (1920-2015, « prix Nobel » d’économie 1993, père de l’économie </w:t>
      </w:r>
      <w:r w:rsidR="00FD4BBC">
        <w:t>institutionnaliste</w:t>
      </w:r>
      <w:r w:rsidR="00A211C2">
        <w:t>)</w:t>
      </w:r>
      <w:r>
        <w:t xml:space="preserve">. </w:t>
      </w:r>
      <w:r w:rsidR="00E54C31">
        <w:t xml:space="preserve">Mais, avec le recul du temps, je pense néanmoins avoir trop compté, dans ma formation et la première partie de mon activité de chercheur, sur l’outil mathématique. </w:t>
      </w:r>
    </w:p>
    <w:p w14:paraId="6CDA358D" w14:textId="6B7D3CC4" w:rsidR="002722BB" w:rsidRDefault="002722BB" w:rsidP="002722BB">
      <w:pPr>
        <w:jc w:val="both"/>
      </w:pPr>
      <w:r>
        <w:t>Retour en France en septembre 1972</w:t>
      </w:r>
      <w:r w:rsidR="00890369">
        <w:t>, une des dernières traversées du</w:t>
      </w:r>
      <w:r>
        <w:t xml:space="preserve"> paquebot France. (</w:t>
      </w:r>
      <w:proofErr w:type="gramStart"/>
      <w:r>
        <w:t>page</w:t>
      </w:r>
      <w:proofErr w:type="gramEnd"/>
      <w:r>
        <w:t xml:space="preserve"> 12)</w:t>
      </w:r>
    </w:p>
    <w:p w14:paraId="07559B9B" w14:textId="77777777" w:rsidR="008003DD" w:rsidRPr="00433AB6" w:rsidRDefault="008003DD" w:rsidP="008003DD">
      <w:pPr>
        <w:rPr>
          <w:b/>
          <w:bCs/>
        </w:rPr>
      </w:pPr>
      <w:r w:rsidRPr="00433AB6">
        <w:rPr>
          <w:b/>
          <w:bCs/>
        </w:rPr>
        <w:t>Direction de la prévisio</w:t>
      </w:r>
      <w:r>
        <w:rPr>
          <w:b/>
          <w:bCs/>
        </w:rPr>
        <w:t>n (DP)</w:t>
      </w:r>
    </w:p>
    <w:p w14:paraId="1249D856" w14:textId="51037AD9" w:rsidR="00D30569" w:rsidRDefault="008003DD" w:rsidP="00D30569">
      <w:pPr>
        <w:jc w:val="both"/>
      </w:pPr>
      <w:r>
        <w:t>En 1974, Michel Drouet, chargé de mission de la D</w:t>
      </w:r>
      <w:r w:rsidR="00D30569">
        <w:t xml:space="preserve">irection de la </w:t>
      </w:r>
      <w:r w:rsidR="000D2858">
        <w:t>p</w:t>
      </w:r>
      <w:r w:rsidR="00D30569">
        <w:t>révision (D</w:t>
      </w:r>
      <w:r>
        <w:t>P</w:t>
      </w:r>
      <w:r w:rsidR="00D30569">
        <w:t>)</w:t>
      </w:r>
      <w:r>
        <w:t xml:space="preserve"> et administrateur de l’Insee, est venu me voir à Rennes. Il avait entrepris un projet de modélisation économétrique du marché du bœuf. Il m’incita à me faire détacher à la DP. </w:t>
      </w:r>
      <w:r w:rsidR="003E16E6">
        <w:t>I</w:t>
      </w:r>
      <w:r>
        <w:t xml:space="preserve">ntégrée aujourd’hui dans la Direction du Trésor, </w:t>
      </w:r>
      <w:r w:rsidR="003E16E6">
        <w:t xml:space="preserve">la DP </w:t>
      </w:r>
      <w:r>
        <w:t>était la branche intellectuelle du ministère de l’Economie et des Finances. Son aura tenait beaucoup à l’autorité intellectuelle de son directeur, Edmond Malinvaud</w:t>
      </w:r>
      <w:r w:rsidR="00D30569">
        <w:t xml:space="preserve"> (1901-1990)</w:t>
      </w:r>
      <w:r>
        <w:t xml:space="preserve">, de réputation internationale, qui l’avait quittée </w:t>
      </w:r>
      <w:r w:rsidR="003E3815">
        <w:t>peu avant</w:t>
      </w:r>
      <w:r>
        <w:t xml:space="preserve"> pour devenir directeur général de l’Insee. (</w:t>
      </w:r>
      <w:proofErr w:type="gramStart"/>
      <w:r>
        <w:t>page</w:t>
      </w:r>
      <w:proofErr w:type="gramEnd"/>
      <w:r>
        <w:t xml:space="preserve"> 16)</w:t>
      </w:r>
      <w:r w:rsidR="00D30569" w:rsidRPr="00D30569">
        <w:t xml:space="preserve"> </w:t>
      </w:r>
    </w:p>
    <w:p w14:paraId="1BAE610A" w14:textId="522E2E62" w:rsidR="00D30569" w:rsidRDefault="00D30569" w:rsidP="00D30569">
      <w:pPr>
        <w:jc w:val="both"/>
      </w:pPr>
      <w:r>
        <w:t xml:space="preserve">A la Direction de la prévision, à la lumière de la théorie économique de base et de quelques faits globaux, nous développions en 1975 la thèse </w:t>
      </w:r>
      <w:r w:rsidR="003E16E6">
        <w:t>selon la</w:t>
      </w:r>
      <w:r>
        <w:t>que</w:t>
      </w:r>
      <w:r w:rsidR="003E16E6">
        <w:t xml:space="preserve">lle </w:t>
      </w:r>
      <w:r>
        <w:t>la P</w:t>
      </w:r>
      <w:r w:rsidR="00FD4BBC">
        <w:t>olitique agricole commune (P</w:t>
      </w:r>
      <w:r>
        <w:t>AC</w:t>
      </w:r>
      <w:r w:rsidR="00FD4BBC">
        <w:t>)</w:t>
      </w:r>
      <w:r>
        <w:t xml:space="preserve"> était devenue un obstacle à l’efficacité de l’agriculture </w:t>
      </w:r>
      <w:r>
        <w:lastRenderedPageBreak/>
        <w:t>européenne et aggravait les inégalités de revenus.</w:t>
      </w:r>
      <w:r w:rsidR="00D20E99">
        <w:t xml:space="preserve"> </w:t>
      </w:r>
      <w:r>
        <w:t>Nous étions persuadés, sans avoir travaillé vraiment d’un point de vue théorique élevé, que la France tenait une position incohérente. (</w:t>
      </w:r>
      <w:proofErr w:type="gramStart"/>
      <w:r>
        <w:t>page</w:t>
      </w:r>
      <w:proofErr w:type="gramEnd"/>
      <w:r>
        <w:t xml:space="preserve"> 17)</w:t>
      </w:r>
    </w:p>
    <w:p w14:paraId="500723C8" w14:textId="25FCF405" w:rsidR="00B12264" w:rsidRPr="00433AB6" w:rsidRDefault="00B12264">
      <w:pPr>
        <w:rPr>
          <w:b/>
          <w:bCs/>
        </w:rPr>
      </w:pPr>
      <w:r w:rsidRPr="00433AB6">
        <w:rPr>
          <w:b/>
          <w:bCs/>
        </w:rPr>
        <w:t>Chercheur</w:t>
      </w:r>
      <w:r w:rsidR="00433AB6" w:rsidRPr="00433AB6">
        <w:rPr>
          <w:b/>
          <w:bCs/>
        </w:rPr>
        <w:t>,</w:t>
      </w:r>
      <w:r w:rsidRPr="00433AB6">
        <w:rPr>
          <w:b/>
          <w:bCs/>
        </w:rPr>
        <w:t xml:space="preserve"> non </w:t>
      </w:r>
      <w:r w:rsidR="002E2ECA" w:rsidRPr="00433AB6">
        <w:rPr>
          <w:b/>
          <w:bCs/>
        </w:rPr>
        <w:t>haut fonctionnaire</w:t>
      </w:r>
    </w:p>
    <w:p w14:paraId="5AFEFE52" w14:textId="0AE01D5B" w:rsidR="00D30569" w:rsidRDefault="00B12264" w:rsidP="00D30569">
      <w:pPr>
        <w:jc w:val="both"/>
      </w:pPr>
      <w:r>
        <w:t>J’ai quitté la DP en mars 1977, pour revenir à l’Inra pour raisons personnelles et parce que la recherche m’intéressait plus que le pouvoir et l’administration.</w:t>
      </w:r>
      <w:r w:rsidR="002E2ECA">
        <w:t xml:space="preserve"> Je n’avais pas d’attrait pour les positions à responsabilité et préférais le monde académique. </w:t>
      </w:r>
      <w:r w:rsidR="00D30569">
        <w:t>(</w:t>
      </w:r>
      <w:proofErr w:type="gramStart"/>
      <w:r w:rsidR="00D30569">
        <w:t>page</w:t>
      </w:r>
      <w:proofErr w:type="gramEnd"/>
      <w:r w:rsidR="00D30569">
        <w:t xml:space="preserve"> 17)</w:t>
      </w:r>
    </w:p>
    <w:p w14:paraId="705B419A" w14:textId="67E86F34" w:rsidR="00D30569" w:rsidRDefault="00D30569" w:rsidP="00D30569">
      <w:pPr>
        <w:jc w:val="both"/>
      </w:pPr>
      <w:r>
        <w:t>La liberté n’a pas de prix, l’activité intellectuelle est un cadeau à la vie. Et je dois admettre que je me suis souvent arrêté trop tôt dans la valorisation de mes recherches. (</w:t>
      </w:r>
      <w:proofErr w:type="gramStart"/>
      <w:r>
        <w:t>page</w:t>
      </w:r>
      <w:proofErr w:type="gramEnd"/>
      <w:r>
        <w:t xml:space="preserve"> 41)</w:t>
      </w:r>
    </w:p>
    <w:p w14:paraId="0865919B" w14:textId="018995F5" w:rsidR="00B12264" w:rsidRDefault="00D30569" w:rsidP="002E2ECA">
      <w:pPr>
        <w:jc w:val="both"/>
      </w:pPr>
      <w:r>
        <w:t>M</w:t>
      </w:r>
      <w:r w:rsidR="002E2ECA">
        <w:t xml:space="preserve">a collaboration avec la DP resta cependant étroite, sur le modèle Magali </w:t>
      </w:r>
      <w:r w:rsidR="0059494E">
        <w:t xml:space="preserve">du secteur agricole et agroalimentaire, </w:t>
      </w:r>
      <w:r w:rsidR="002E2ECA">
        <w:t>et sur la politique agricole et la PAC qui allait rester au cœur de mon travail. (</w:t>
      </w:r>
      <w:proofErr w:type="gramStart"/>
      <w:r w:rsidR="002E2ECA">
        <w:t>page</w:t>
      </w:r>
      <w:proofErr w:type="gramEnd"/>
      <w:r w:rsidR="002E2ECA">
        <w:t xml:space="preserve"> 17)</w:t>
      </w:r>
    </w:p>
    <w:p w14:paraId="30DC8965" w14:textId="42C52DA5" w:rsidR="00A45C6B" w:rsidRPr="00433AB6" w:rsidRDefault="0045719B">
      <w:pPr>
        <w:rPr>
          <w:b/>
          <w:bCs/>
        </w:rPr>
      </w:pPr>
      <w:r>
        <w:rPr>
          <w:b/>
          <w:bCs/>
        </w:rPr>
        <w:t>E</w:t>
      </w:r>
      <w:r w:rsidR="008003DD">
        <w:rPr>
          <w:b/>
          <w:bCs/>
        </w:rPr>
        <w:t>conomie de l’e</w:t>
      </w:r>
      <w:r w:rsidR="00A45C6B" w:rsidRPr="00433AB6">
        <w:rPr>
          <w:b/>
          <w:bCs/>
        </w:rPr>
        <w:t>nvironnement</w:t>
      </w:r>
    </w:p>
    <w:p w14:paraId="6BA8C2D2" w14:textId="2D521C20" w:rsidR="008003DD" w:rsidRDefault="008003DD" w:rsidP="008003DD">
      <w:pPr>
        <w:jc w:val="both"/>
      </w:pPr>
      <w:r>
        <w:t>Je crois avoir introduit la problématique de l’environnement à Rennes où</w:t>
      </w:r>
      <w:r w:rsidR="00D30569">
        <w:t>,</w:t>
      </w:r>
      <w:r>
        <w:t xml:space="preserve"> dès mon retour des Etats-Unis (1972)</w:t>
      </w:r>
      <w:r w:rsidR="00D30569">
        <w:t>,</w:t>
      </w:r>
      <w:r>
        <w:t xml:space="preserve"> j’étais persuadé que ces sujets allaient devenir majeurs. (</w:t>
      </w:r>
      <w:proofErr w:type="gramStart"/>
      <w:r>
        <w:t>page</w:t>
      </w:r>
      <w:proofErr w:type="gramEnd"/>
      <w:r>
        <w:t xml:space="preserve"> 15)</w:t>
      </w:r>
    </w:p>
    <w:p w14:paraId="229DAAB0" w14:textId="11F33A7F" w:rsidR="00204F3A" w:rsidRDefault="00204F3A" w:rsidP="00B12264">
      <w:pPr>
        <w:jc w:val="both"/>
      </w:pPr>
      <w:r>
        <w:t xml:space="preserve">En 1973, </w:t>
      </w:r>
      <w:r w:rsidR="008003DD">
        <w:t>à l’Agro de Rennes</w:t>
      </w:r>
      <w:r w:rsidR="00D30569">
        <w:t>,</w:t>
      </w:r>
      <w:r w:rsidR="008003DD">
        <w:t xml:space="preserve"> </w:t>
      </w:r>
      <w:r>
        <w:t xml:space="preserve">je créai un cours sur l’économie de l’environnement et des ressources renouvelables, qui sont le plus souvent des communs. </w:t>
      </w:r>
      <w:r w:rsidR="00D20E99">
        <w:t>L</w:t>
      </w:r>
      <w:r>
        <w:t xml:space="preserve">a </w:t>
      </w:r>
      <w:r w:rsidRPr="00204F3A">
        <w:rPr>
          <w:i/>
          <w:iCs/>
        </w:rPr>
        <w:t>Revue d’économie politique</w:t>
      </w:r>
      <w:r>
        <w:t xml:space="preserve"> publia ma « Note sur la théorie des ressources naturelles libres » (1975).</w:t>
      </w:r>
      <w:r w:rsidR="006C45C7">
        <w:t xml:space="preserve"> L</w:t>
      </w:r>
      <w:r>
        <w:t>a fonction de production faisait apparaître une discontinuité quand la surexploitation atteignait un seu</w:t>
      </w:r>
      <w:r w:rsidR="004717C6">
        <w:t>i</w:t>
      </w:r>
      <w:r>
        <w:t>l où naissait l’évolution chaotique vers l’extinction. Cette forme de la fonction de production apparaîtra plus tard dans l</w:t>
      </w:r>
      <w:r w:rsidR="000D2858">
        <w:t>’ouvrag</w:t>
      </w:r>
      <w:r>
        <w:t>e classique de C.W. Clark (</w:t>
      </w:r>
      <w:proofErr w:type="spellStart"/>
      <w:r w:rsidRPr="00204F3A">
        <w:rPr>
          <w:i/>
          <w:iCs/>
        </w:rPr>
        <w:t>Mathematical</w:t>
      </w:r>
      <w:proofErr w:type="spellEnd"/>
      <w:r w:rsidRPr="00204F3A">
        <w:rPr>
          <w:i/>
          <w:iCs/>
        </w:rPr>
        <w:t xml:space="preserve"> </w:t>
      </w:r>
      <w:proofErr w:type="spellStart"/>
      <w:r w:rsidRPr="00204F3A">
        <w:rPr>
          <w:i/>
          <w:iCs/>
        </w:rPr>
        <w:t>bioeconomics</w:t>
      </w:r>
      <w:proofErr w:type="spellEnd"/>
      <w:r w:rsidRPr="00204F3A">
        <w:rPr>
          <w:i/>
          <w:iCs/>
        </w:rPr>
        <w:t xml:space="preserve">, the optimal </w:t>
      </w:r>
      <w:r w:rsidR="004717C6" w:rsidRPr="00204F3A">
        <w:rPr>
          <w:i/>
          <w:iCs/>
        </w:rPr>
        <w:t>management</w:t>
      </w:r>
      <w:r w:rsidRPr="00204F3A">
        <w:rPr>
          <w:i/>
          <w:iCs/>
        </w:rPr>
        <w:t xml:space="preserve"> of a </w:t>
      </w:r>
      <w:proofErr w:type="spellStart"/>
      <w:r w:rsidRPr="00204F3A">
        <w:rPr>
          <w:i/>
          <w:iCs/>
        </w:rPr>
        <w:t>renewable</w:t>
      </w:r>
      <w:proofErr w:type="spellEnd"/>
      <w:r w:rsidRPr="00204F3A">
        <w:rPr>
          <w:i/>
          <w:iCs/>
        </w:rPr>
        <w:t xml:space="preserve"> </w:t>
      </w:r>
      <w:proofErr w:type="spellStart"/>
      <w:r w:rsidRPr="00204F3A">
        <w:rPr>
          <w:i/>
          <w:iCs/>
        </w:rPr>
        <w:t>resource</w:t>
      </w:r>
      <w:proofErr w:type="spellEnd"/>
      <w:r w:rsidRPr="00204F3A">
        <w:rPr>
          <w:i/>
          <w:iCs/>
        </w:rPr>
        <w:t>,</w:t>
      </w:r>
      <w:r>
        <w:t xml:space="preserve"> </w:t>
      </w:r>
      <w:proofErr w:type="spellStart"/>
      <w:r>
        <w:t>Wiley</w:t>
      </w:r>
      <w:proofErr w:type="spellEnd"/>
      <w:r>
        <w:t>, 1976) (page 14)</w:t>
      </w:r>
      <w:r w:rsidRPr="00204F3A">
        <w:t xml:space="preserve"> </w:t>
      </w:r>
    </w:p>
    <w:p w14:paraId="64B4C0F2" w14:textId="7AB2595C" w:rsidR="00E34004" w:rsidRDefault="00E34004" w:rsidP="00B12264">
      <w:pPr>
        <w:jc w:val="both"/>
      </w:pPr>
      <w:r>
        <w:t>Dans les années 1980, les atteintes à l’</w:t>
      </w:r>
      <w:r w:rsidR="00F23E36">
        <w:t>environnement</w:t>
      </w:r>
      <w:r>
        <w:t xml:space="preserve"> due</w:t>
      </w:r>
      <w:r w:rsidR="00F23E36">
        <w:t>s</w:t>
      </w:r>
      <w:r>
        <w:t xml:space="preserve"> à l’</w:t>
      </w:r>
      <w:r w:rsidR="00F23E36">
        <w:t>intensification</w:t>
      </w:r>
      <w:r>
        <w:t xml:space="preserve"> générale de l’</w:t>
      </w:r>
      <w:r w:rsidR="00F23E36">
        <w:t>agriculture</w:t>
      </w:r>
      <w:r>
        <w:t xml:space="preserve"> </w:t>
      </w:r>
      <w:r w:rsidR="00F23E36">
        <w:t>c</w:t>
      </w:r>
      <w:r>
        <w:t>ommençaient à être perçues. (</w:t>
      </w:r>
      <w:proofErr w:type="gramStart"/>
      <w:r>
        <w:t>page</w:t>
      </w:r>
      <w:proofErr w:type="gramEnd"/>
      <w:r>
        <w:t xml:space="preserve"> 20)</w:t>
      </w:r>
    </w:p>
    <w:p w14:paraId="7411C14D" w14:textId="42AB317B" w:rsidR="0031404A" w:rsidRDefault="002D64D6" w:rsidP="00B12264">
      <w:pPr>
        <w:jc w:val="both"/>
      </w:pPr>
      <w:r>
        <w:t>L</w:t>
      </w:r>
      <w:r w:rsidR="008003DD">
        <w:t xml:space="preserve">’idée du </w:t>
      </w:r>
      <w:r>
        <w:t xml:space="preserve">livre </w:t>
      </w:r>
      <w:r w:rsidRPr="004B73A8">
        <w:rPr>
          <w:i/>
          <w:iCs/>
        </w:rPr>
        <w:t>Politique agricole, un modèle européen</w:t>
      </w:r>
      <w:r w:rsidR="004B73A8">
        <w:t>,</w:t>
      </w:r>
      <w:r>
        <w:t xml:space="preserve"> publié </w:t>
      </w:r>
      <w:r w:rsidR="006C45C7">
        <w:t xml:space="preserve">en 2001 </w:t>
      </w:r>
      <w:r>
        <w:t xml:space="preserve">avec </w:t>
      </w:r>
      <w:r w:rsidR="00E85D85">
        <w:t>François</w:t>
      </w:r>
      <w:r>
        <w:t xml:space="preserve"> </w:t>
      </w:r>
      <w:proofErr w:type="spellStart"/>
      <w:r>
        <w:t>Ortolo</w:t>
      </w:r>
      <w:proofErr w:type="spellEnd"/>
      <w:r>
        <w:t>-Magné</w:t>
      </w:r>
      <w:r w:rsidR="00503A55">
        <w:t>,</w:t>
      </w:r>
      <w:r>
        <w:t xml:space="preserve"> était d’apporter au public français le regard critique d’une économiste de l’étranger (de</w:t>
      </w:r>
      <w:r w:rsidR="002438D7">
        <w:t xml:space="preserve"> </w:t>
      </w:r>
      <w:r>
        <w:t xml:space="preserve">la </w:t>
      </w:r>
      <w:r w:rsidRPr="00503A55">
        <w:rPr>
          <w:i/>
          <w:iCs/>
        </w:rPr>
        <w:t>L</w:t>
      </w:r>
      <w:r w:rsidR="00503A55" w:rsidRPr="00503A55">
        <w:rPr>
          <w:i/>
          <w:iCs/>
        </w:rPr>
        <w:t xml:space="preserve">ondon </w:t>
      </w:r>
      <w:proofErr w:type="spellStart"/>
      <w:r w:rsidRPr="00503A55">
        <w:rPr>
          <w:i/>
          <w:iCs/>
        </w:rPr>
        <w:t>S</w:t>
      </w:r>
      <w:r w:rsidR="00503A55" w:rsidRPr="00503A55">
        <w:rPr>
          <w:i/>
          <w:iCs/>
        </w:rPr>
        <w:t>chool</w:t>
      </w:r>
      <w:proofErr w:type="spellEnd"/>
      <w:r w:rsidR="00503A55" w:rsidRPr="00503A55">
        <w:rPr>
          <w:i/>
          <w:iCs/>
        </w:rPr>
        <w:t xml:space="preserve"> of </w:t>
      </w:r>
      <w:proofErr w:type="spellStart"/>
      <w:r w:rsidR="002438D7" w:rsidRPr="00503A55">
        <w:rPr>
          <w:i/>
          <w:iCs/>
        </w:rPr>
        <w:t>E</w:t>
      </w:r>
      <w:r w:rsidR="00503A55" w:rsidRPr="00503A55">
        <w:rPr>
          <w:i/>
          <w:iCs/>
        </w:rPr>
        <w:t>conomics</w:t>
      </w:r>
      <w:proofErr w:type="spellEnd"/>
      <w:r>
        <w:t xml:space="preserve"> en l’occurrence).  </w:t>
      </w:r>
      <w:r w:rsidR="0045719B">
        <w:t>J</w:t>
      </w:r>
      <w:r>
        <w:t>’avais toujours cette préoccupation des externalités qui sont au cœur d</w:t>
      </w:r>
      <w:r w:rsidR="004B73A8">
        <w:t>e</w:t>
      </w:r>
      <w:r>
        <w:t xml:space="preserve"> l’agriculture. </w:t>
      </w:r>
      <w:r w:rsidR="00503A55">
        <w:t>N</w:t>
      </w:r>
      <w:r>
        <w:t>ous avons cherché des instruments incitatifs qui ciblent les aides sur les services rendus</w:t>
      </w:r>
      <w:r w:rsidR="00DD62E9">
        <w:t>. (</w:t>
      </w:r>
      <w:proofErr w:type="gramStart"/>
      <w:r w:rsidR="00DD62E9">
        <w:t>page</w:t>
      </w:r>
      <w:proofErr w:type="gramEnd"/>
      <w:r w:rsidR="00DD62E9">
        <w:t xml:space="preserve"> 37)</w:t>
      </w:r>
    </w:p>
    <w:p w14:paraId="42E575FA" w14:textId="30605DF3" w:rsidR="00D30569" w:rsidRPr="00D30569" w:rsidRDefault="001C7B0E" w:rsidP="00B12264">
      <w:pPr>
        <w:jc w:val="both"/>
        <w:rPr>
          <w:b/>
          <w:bCs/>
        </w:rPr>
      </w:pPr>
      <w:r>
        <w:rPr>
          <w:b/>
          <w:bCs/>
        </w:rPr>
        <w:t>Ve</w:t>
      </w:r>
      <w:r w:rsidR="00D30569" w:rsidRPr="00D30569">
        <w:rPr>
          <w:b/>
          <w:bCs/>
        </w:rPr>
        <w:t>r</w:t>
      </w:r>
      <w:r>
        <w:rPr>
          <w:b/>
          <w:bCs/>
        </w:rPr>
        <w:t>s</w:t>
      </w:r>
      <w:r w:rsidR="00D30569" w:rsidRPr="00D30569">
        <w:rPr>
          <w:b/>
          <w:bCs/>
        </w:rPr>
        <w:t xml:space="preserve"> une économie de parc naturel</w:t>
      </w:r>
    </w:p>
    <w:p w14:paraId="24E69285" w14:textId="4A54D2E3" w:rsidR="002D64D6" w:rsidRDefault="002D64D6" w:rsidP="00B12264">
      <w:pPr>
        <w:jc w:val="both"/>
      </w:pPr>
      <w:r>
        <w:t xml:space="preserve">Nous sommes allés plus loin sur l’espace et le développement rural en identifiant les bases nouvelles de ce développement comme le tourisme et les occupations récréatives qui viennent compléter les activités productives traditionnelles du secteur primaire.  L’idée novatrice était un zonage complet de l’espace rural pour catalyser les externalités positives dans les </w:t>
      </w:r>
      <w:r w:rsidR="006C45C7">
        <w:t>région</w:t>
      </w:r>
      <w:r>
        <w:t>s à fort potentiel récréatif ou résidentiel</w:t>
      </w:r>
      <w:r w:rsidR="006C45C7">
        <w:t>, e</w:t>
      </w:r>
      <w:r>
        <w:t xml:space="preserve">t ainsi les protéger des </w:t>
      </w:r>
      <w:r>
        <w:lastRenderedPageBreak/>
        <w:t xml:space="preserve">activités polluantes.  </w:t>
      </w:r>
      <w:r w:rsidR="00EC42AF">
        <w:t>C</w:t>
      </w:r>
      <w:r>
        <w:t>’est bien ce que l’on fait pour les parcs naturels, le zonage urbain, la loi littoral. (</w:t>
      </w:r>
      <w:proofErr w:type="gramStart"/>
      <w:r>
        <w:t>page</w:t>
      </w:r>
      <w:proofErr w:type="gramEnd"/>
      <w:r>
        <w:t xml:space="preserve"> 37)</w:t>
      </w:r>
    </w:p>
    <w:p w14:paraId="02FAB5E0" w14:textId="69D589E9" w:rsidR="00A4039F" w:rsidRPr="00433AB6" w:rsidRDefault="00C60BF6">
      <w:pPr>
        <w:rPr>
          <w:b/>
          <w:bCs/>
        </w:rPr>
      </w:pPr>
      <w:r>
        <w:rPr>
          <w:b/>
          <w:bCs/>
        </w:rPr>
        <w:t xml:space="preserve">Structure </w:t>
      </w:r>
      <w:r w:rsidR="0031404A">
        <w:rPr>
          <w:b/>
          <w:bCs/>
        </w:rPr>
        <w:t xml:space="preserve">inégalitaire </w:t>
      </w:r>
      <w:r>
        <w:rPr>
          <w:b/>
          <w:bCs/>
        </w:rPr>
        <w:t xml:space="preserve">et effets pervers </w:t>
      </w:r>
      <w:r w:rsidR="00A4039F" w:rsidRPr="00433AB6">
        <w:rPr>
          <w:b/>
          <w:bCs/>
        </w:rPr>
        <w:t>de la PAC</w:t>
      </w:r>
    </w:p>
    <w:p w14:paraId="48C8879E" w14:textId="16CDF8D1" w:rsidR="002F30C6" w:rsidRDefault="00F6035B" w:rsidP="002F30C6">
      <w:pPr>
        <w:jc w:val="both"/>
      </w:pPr>
      <w:r>
        <w:t xml:space="preserve">Dans </w:t>
      </w:r>
      <w:r w:rsidR="002F30C6" w:rsidRPr="00360FE9">
        <w:rPr>
          <w:i/>
          <w:iCs/>
        </w:rPr>
        <w:t>Politique de prix agricoles</w:t>
      </w:r>
      <w:r w:rsidR="002F30C6">
        <w:t xml:space="preserve"> </w:t>
      </w:r>
      <w:r>
        <w:t>(</w:t>
      </w:r>
      <w:r w:rsidR="002F30C6">
        <w:t>1981)</w:t>
      </w:r>
      <w:r>
        <w:t>, j’ai</w:t>
      </w:r>
      <w:r w:rsidR="002F30C6">
        <w:t xml:space="preserve"> compar</w:t>
      </w:r>
      <w:r>
        <w:t>é</w:t>
      </w:r>
      <w:r w:rsidR="002F30C6">
        <w:t xml:space="preserve"> les instruments de soutien des prix des céréaliers (prélèvements-restitutions, taxe de coresponsabilité, quotas de production) et leurs effets inégalitaires. </w:t>
      </w:r>
      <w:r>
        <w:t>Est a</w:t>
      </w:r>
      <w:r w:rsidR="006C45C7">
        <w:t>in</w:t>
      </w:r>
      <w:r>
        <w:t>si apparu le caractère inéquitable de la politique agricole</w:t>
      </w:r>
      <w:r w:rsidR="002F30C6">
        <w:t>, bien avant l</w:t>
      </w:r>
      <w:r w:rsidR="006C45C7">
        <w:t>’adoption des</w:t>
      </w:r>
      <w:r w:rsidR="002F30C6">
        <w:t xml:space="preserve"> aides directes en 1992 qui rendent la chose visible</w:t>
      </w:r>
      <w:r>
        <w:t>. L</w:t>
      </w:r>
      <w:r w:rsidR="002F30C6">
        <w:t xml:space="preserve">e dernier quartile de céréaliers (les petits) recevait 100 fois moins que les 10% les plus grands. </w:t>
      </w:r>
      <w:r>
        <w:t xml:space="preserve">Cependant, </w:t>
      </w:r>
      <w:r w:rsidR="002F30C6">
        <w:t xml:space="preserve">Joseph </w:t>
      </w:r>
      <w:proofErr w:type="spellStart"/>
      <w:r w:rsidR="002F30C6">
        <w:t>Klatzmann</w:t>
      </w:r>
      <w:proofErr w:type="spellEnd"/>
      <w:r w:rsidR="00AE1651">
        <w:t xml:space="preserve"> (192</w:t>
      </w:r>
      <w:r w:rsidR="0059494E">
        <w:t>1</w:t>
      </w:r>
      <w:r w:rsidR="00AE1651">
        <w:t>-200</w:t>
      </w:r>
      <w:r w:rsidR="0059494E">
        <w:t>8</w:t>
      </w:r>
      <w:r w:rsidR="00AE1651">
        <w:t xml:space="preserve">, </w:t>
      </w:r>
      <w:r w:rsidR="0059494E">
        <w:t>ingénieur agronome, administrateur Insee</w:t>
      </w:r>
      <w:r w:rsidR="00AE1651">
        <w:t>, professeur d’économie à l’Institut National Agronomique – INA -, aujourd’hui AgroParisTech)</w:t>
      </w:r>
      <w:r w:rsidR="002F30C6">
        <w:t xml:space="preserve">, président de la </w:t>
      </w:r>
      <w:proofErr w:type="spellStart"/>
      <w:r w:rsidR="002F30C6">
        <w:t>Sfer</w:t>
      </w:r>
      <w:proofErr w:type="spellEnd"/>
      <w:r w:rsidR="002F30C6">
        <w:t xml:space="preserve"> à l’époque, jugea que seul un résumé des deux pages méritait d’être publié.</w:t>
      </w:r>
      <w:r w:rsidR="00360FE9">
        <w:t xml:space="preserve"> (</w:t>
      </w:r>
      <w:proofErr w:type="gramStart"/>
      <w:r w:rsidR="00360FE9">
        <w:t>page</w:t>
      </w:r>
      <w:proofErr w:type="gramEnd"/>
      <w:r w:rsidR="00360FE9">
        <w:t xml:space="preserve"> 14)</w:t>
      </w:r>
      <w:r w:rsidR="002F30C6">
        <w:t xml:space="preserve"> </w:t>
      </w:r>
    </w:p>
    <w:p w14:paraId="12875A10" w14:textId="739F51C9" w:rsidR="00433AB6" w:rsidRDefault="002F30C6" w:rsidP="00433AB6">
      <w:pPr>
        <w:jc w:val="both"/>
      </w:pPr>
      <w:r>
        <w:t>Puisque</w:t>
      </w:r>
      <w:r w:rsidR="00433AB6">
        <w:t xml:space="preserve"> la Commission, et la France en particulier, cherchaient des bricolages et des replâtrages pour ne pas toucher aux prix (une idée fixe des </w:t>
      </w:r>
      <w:r w:rsidR="00AE1651">
        <w:t>milieux</w:t>
      </w:r>
      <w:r w:rsidR="00433AB6">
        <w:t xml:space="preserve"> politiques), </w:t>
      </w:r>
      <w:r w:rsidR="00F6035B">
        <w:t xml:space="preserve">et alors </w:t>
      </w:r>
      <w:r w:rsidR="00433AB6">
        <w:t>que la taxe de coresponsabilité et les quotas laitiers étaient en vue, j’ai d’abord fait une analyse comparative des instruments douaniers</w:t>
      </w:r>
      <w:r w:rsidR="0059494E">
        <w:t>.</w:t>
      </w:r>
      <w:r w:rsidR="00433AB6">
        <w:t xml:space="preserve"> Ce travail, inspiré par un article de Tim </w:t>
      </w:r>
      <w:proofErr w:type="spellStart"/>
      <w:r w:rsidR="00433AB6">
        <w:t>Josling</w:t>
      </w:r>
      <w:proofErr w:type="spellEnd"/>
      <w:r w:rsidR="00433AB6">
        <w:t xml:space="preserve"> </w:t>
      </w:r>
      <w:r w:rsidR="00EA3C40">
        <w:t xml:space="preserve">(1940-2018, professeur au </w:t>
      </w:r>
      <w:r w:rsidR="00EA3C40" w:rsidRPr="00EA3C40">
        <w:rPr>
          <w:i/>
          <w:iCs/>
        </w:rPr>
        <w:t xml:space="preserve">Food </w:t>
      </w:r>
      <w:proofErr w:type="spellStart"/>
      <w:r w:rsidR="00EA3C40" w:rsidRPr="00EA3C40">
        <w:rPr>
          <w:i/>
          <w:iCs/>
        </w:rPr>
        <w:t>Research</w:t>
      </w:r>
      <w:proofErr w:type="spellEnd"/>
      <w:r w:rsidR="00EA3C40" w:rsidRPr="00EA3C40">
        <w:rPr>
          <w:i/>
          <w:iCs/>
        </w:rPr>
        <w:t xml:space="preserve"> Institute</w:t>
      </w:r>
      <w:r w:rsidR="00EA3C40">
        <w:t xml:space="preserve"> de l’université Stanford, Californie), </w:t>
      </w:r>
      <w:r w:rsidR="00433AB6">
        <w:t xml:space="preserve">méritait mieux qu’un résumé </w:t>
      </w:r>
      <w:r w:rsidR="00360FE9">
        <w:t xml:space="preserve">de </w:t>
      </w:r>
      <w:r w:rsidR="00433AB6">
        <w:t xml:space="preserve">deux pages dans la revue de la </w:t>
      </w:r>
      <w:proofErr w:type="spellStart"/>
      <w:r w:rsidR="00433AB6">
        <w:t>Sfer</w:t>
      </w:r>
      <w:proofErr w:type="spellEnd"/>
      <w:r w:rsidR="00433AB6">
        <w:t>. (</w:t>
      </w:r>
      <w:proofErr w:type="gramStart"/>
      <w:r w:rsidR="00433AB6">
        <w:t>page</w:t>
      </w:r>
      <w:proofErr w:type="gramEnd"/>
      <w:r w:rsidR="00433AB6">
        <w:t xml:space="preserve"> 20)</w:t>
      </w:r>
    </w:p>
    <w:p w14:paraId="5333E568" w14:textId="5EA59748" w:rsidR="008003DD" w:rsidRDefault="008003DD" w:rsidP="008003DD">
      <w:pPr>
        <w:jc w:val="both"/>
      </w:pPr>
      <w:r>
        <w:t>Tout un contexte me portait vers les questions internationales en relation avec la PAC. Les effets pervers de la protection européenne sur les marchés mondiaux, bien que niés par la France et parfois la Commission, devenaient évidents. J’évoquais les dommages aux pays en voie de développement en particulier à l’aide des travaux de l’</w:t>
      </w:r>
      <w:proofErr w:type="spellStart"/>
      <w:r>
        <w:t>Ifpri</w:t>
      </w:r>
      <w:proofErr w:type="spellEnd"/>
      <w:r>
        <w:t xml:space="preserve"> </w:t>
      </w:r>
      <w:r w:rsidR="00EA3C40" w:rsidRPr="00EA3C40">
        <w:rPr>
          <w:i/>
          <w:iCs/>
        </w:rPr>
        <w:t xml:space="preserve">(International Food Policy </w:t>
      </w:r>
      <w:proofErr w:type="spellStart"/>
      <w:r w:rsidR="00EA3C40" w:rsidRPr="00EA3C40">
        <w:rPr>
          <w:i/>
          <w:iCs/>
        </w:rPr>
        <w:t>Research</w:t>
      </w:r>
      <w:proofErr w:type="spellEnd"/>
      <w:r w:rsidR="00EA3C40" w:rsidRPr="00EA3C40">
        <w:rPr>
          <w:i/>
          <w:iCs/>
        </w:rPr>
        <w:t xml:space="preserve"> Institute</w:t>
      </w:r>
      <w:r w:rsidR="00EA3C40">
        <w:t xml:space="preserve">, basé à Washington D.C.) </w:t>
      </w:r>
      <w:r>
        <w:t xml:space="preserve">avec les exemples de dumping résultant des restitutions européennes. Ceci me conduira d’abord, avec l’aide d’Yves </w:t>
      </w:r>
      <w:proofErr w:type="spellStart"/>
      <w:r>
        <w:t>Surry</w:t>
      </w:r>
      <w:proofErr w:type="spellEnd"/>
      <w:r>
        <w:t xml:space="preserve"> </w:t>
      </w:r>
      <w:r w:rsidR="00833DF4">
        <w:t xml:space="preserve">(1950-2021) </w:t>
      </w:r>
      <w:r>
        <w:t xml:space="preserve">encore au Canada, à organiser la publication dans </w:t>
      </w:r>
      <w:r w:rsidRPr="002F30C6">
        <w:rPr>
          <w:i/>
          <w:iCs/>
        </w:rPr>
        <w:t>Economie Rurale</w:t>
      </w:r>
      <w:r>
        <w:t xml:space="preserve"> d’une recension historique déjà connue en anglais </w:t>
      </w:r>
      <w:r w:rsidR="0049434A">
        <w:t xml:space="preserve">grâce à </w:t>
      </w:r>
      <w:r>
        <w:t>Tim Warley</w:t>
      </w:r>
      <w:r w:rsidR="00833DF4">
        <w:t xml:space="preserve"> (1930-2018)</w:t>
      </w:r>
      <w:r>
        <w:t>, professeur à l’Université de Guelph</w:t>
      </w:r>
      <w:r w:rsidR="00EA3C40">
        <w:t xml:space="preserve"> (</w:t>
      </w:r>
      <w:r w:rsidR="00833DF4">
        <w:t xml:space="preserve">Ontario, </w:t>
      </w:r>
      <w:r w:rsidR="00EA3C40">
        <w:t>Canada)</w:t>
      </w:r>
      <w:r w:rsidR="003255E9">
        <w:t xml:space="preserve"> (Mahé, 2021)</w:t>
      </w:r>
      <w:r>
        <w:t xml:space="preserve">, puis à développer et enrichir le </w:t>
      </w:r>
      <w:r w:rsidR="00C60BF6">
        <w:t>Modèle international simplifié de simulation (</w:t>
      </w:r>
      <w:r>
        <w:t>Miss</w:t>
      </w:r>
      <w:r w:rsidR="00C60BF6">
        <w:t>)</w:t>
      </w:r>
      <w:r>
        <w:t xml:space="preserve"> pour répondre à des demandes de scenarios de réformes. (</w:t>
      </w:r>
      <w:proofErr w:type="gramStart"/>
      <w:r>
        <w:t>page</w:t>
      </w:r>
      <w:proofErr w:type="gramEnd"/>
      <w:r>
        <w:t xml:space="preserve"> 21)</w:t>
      </w:r>
    </w:p>
    <w:p w14:paraId="0A848AA4" w14:textId="6C8763F1" w:rsidR="00FB2AFA" w:rsidRDefault="00FB2AFA" w:rsidP="00433AB6">
      <w:pPr>
        <w:jc w:val="both"/>
      </w:pPr>
      <w:r>
        <w:t>Début 1983, je fus contacté par la D</w:t>
      </w:r>
      <w:r w:rsidR="00AE1651">
        <w:t xml:space="preserve">irection </w:t>
      </w:r>
      <w:r>
        <w:t>G</w:t>
      </w:r>
      <w:r w:rsidR="00AE1651">
        <w:t>énérale</w:t>
      </w:r>
      <w:r>
        <w:t xml:space="preserve"> Commerce de la Commission </w:t>
      </w:r>
      <w:r w:rsidR="00AE1651">
        <w:t xml:space="preserve">européenne </w:t>
      </w:r>
      <w:r>
        <w:t xml:space="preserve">pour réaliser un rapport sur « les méthodes possibles d’évaluation de l’impact d’une baisse de la protection agricole dans les pays de l’OCDE ». Début 1984, quand je </w:t>
      </w:r>
      <w:r w:rsidR="0059494E">
        <w:t>présentai</w:t>
      </w:r>
      <w:r>
        <w:t xml:space="preserve"> mon rapport à Bruxelles </w:t>
      </w:r>
      <w:r w:rsidR="0059494E">
        <w:t>aux</w:t>
      </w:r>
      <w:r>
        <w:t xml:space="preserve"> délégués des Etas membres, je constatai sans trop de surprise que le terme « protectionnisme agricole » restait tabou pour plusieurs pays (et la France en premier </w:t>
      </w:r>
      <w:r w:rsidR="00CB0CB5">
        <w:t>l</w:t>
      </w:r>
      <w:r>
        <w:t>ieu) et que l’on préférait s’</w:t>
      </w:r>
      <w:r w:rsidR="00CB0CB5">
        <w:t>opposer</w:t>
      </w:r>
      <w:r>
        <w:t xml:space="preserve"> avec des arguments d’autorité plutôt que sur le fond</w:t>
      </w:r>
      <w:r w:rsidR="0059494E">
        <w:t>.</w:t>
      </w:r>
      <w:r>
        <w:t xml:space="preserve"> </w:t>
      </w:r>
      <w:r w:rsidR="0059494E">
        <w:t xml:space="preserve"> </w:t>
      </w:r>
      <w:r>
        <w:t xml:space="preserve">Il était clair que la Communauté et le Japon </w:t>
      </w:r>
      <w:r w:rsidR="00CB0CB5">
        <w:t>risquaient</w:t>
      </w:r>
      <w:r>
        <w:t xml:space="preserve"> d’</w:t>
      </w:r>
      <w:r w:rsidR="00CB0CB5">
        <w:t>être</w:t>
      </w:r>
      <w:r>
        <w:t xml:space="preserve"> sur la sellette si l’on évaluait les niveaux du soutien apport</w:t>
      </w:r>
      <w:r w:rsidR="0045719B">
        <w:t>és</w:t>
      </w:r>
      <w:r>
        <w:t xml:space="preserve"> au secteur agricole. (</w:t>
      </w:r>
      <w:proofErr w:type="gramStart"/>
      <w:r>
        <w:t>pp.</w:t>
      </w:r>
      <w:proofErr w:type="gramEnd"/>
      <w:r>
        <w:t xml:space="preserve"> 21-22)</w:t>
      </w:r>
    </w:p>
    <w:p w14:paraId="37B0ED18" w14:textId="67604CC5" w:rsidR="00AE1651" w:rsidRDefault="00AE1651" w:rsidP="00AE1651">
      <w:pPr>
        <w:jc w:val="both"/>
      </w:pPr>
      <w:r>
        <w:lastRenderedPageBreak/>
        <w:t>En 1992, une étude avait simulé la baisse du prix des céréales de 10% et conclu qu’elle entrainerait la disparition d’un tiers des exploitations</w:t>
      </w:r>
      <w:r w:rsidR="00D70E89">
        <w:t>.</w:t>
      </w:r>
      <w:r>
        <w:t xml:space="preserve">  Je présentai à mon tour une note qui tenait compte des effets d’atténuation induits, c’est-à-dire la demande en baisse d’engrais et autres intrants, et du progrès technique sur une période de 2-3 ans permettant d’étaler l’ajustement. Ma note montra que, selon toute probabilité, la baisse du prix des céréales étalée sur 2-3 ans n’avait guère d’impact. (</w:t>
      </w:r>
      <w:proofErr w:type="gramStart"/>
      <w:r>
        <w:t>pp.</w:t>
      </w:r>
      <w:proofErr w:type="gramEnd"/>
      <w:r>
        <w:t xml:space="preserve"> 22-23) </w:t>
      </w:r>
    </w:p>
    <w:p w14:paraId="17372BAC" w14:textId="5DCF18B4" w:rsidR="00A4039F" w:rsidRPr="00433AB6" w:rsidRDefault="00AE1651">
      <w:pPr>
        <w:rPr>
          <w:b/>
          <w:bCs/>
        </w:rPr>
      </w:pPr>
      <w:r>
        <w:rPr>
          <w:b/>
          <w:bCs/>
        </w:rPr>
        <w:t>L</w:t>
      </w:r>
      <w:r w:rsidR="00A4039F" w:rsidRPr="00433AB6">
        <w:rPr>
          <w:b/>
          <w:bCs/>
        </w:rPr>
        <w:t>a PAC</w:t>
      </w:r>
      <w:r w:rsidR="0045719B">
        <w:rPr>
          <w:b/>
          <w:bCs/>
        </w:rPr>
        <w:t xml:space="preserve"> : </w:t>
      </w:r>
      <w:r w:rsidR="00C744B8">
        <w:rPr>
          <w:b/>
          <w:bCs/>
        </w:rPr>
        <w:t>une</w:t>
      </w:r>
      <w:r w:rsidR="0045719B">
        <w:rPr>
          <w:b/>
          <w:bCs/>
        </w:rPr>
        <w:t xml:space="preserve"> culture du tabou</w:t>
      </w:r>
    </w:p>
    <w:p w14:paraId="6CAAD9DD" w14:textId="5EBF3FC7" w:rsidR="00F35BC8" w:rsidRDefault="00F35BC8" w:rsidP="00360FE9">
      <w:pPr>
        <w:jc w:val="both"/>
      </w:pPr>
      <w:r>
        <w:t xml:space="preserve">En 1993, à la </w:t>
      </w:r>
      <w:r w:rsidR="009E0555">
        <w:t>commission</w:t>
      </w:r>
      <w:r>
        <w:t xml:space="preserve"> Agriculture du Plan présidée par Philippe Mangin, </w:t>
      </w:r>
      <w:r w:rsidR="00C60BF6">
        <w:t xml:space="preserve">président du Centre national des jeunes agriculteurs </w:t>
      </w:r>
      <w:r w:rsidR="006C45C7">
        <w:t>(CNJA)</w:t>
      </w:r>
      <w:r w:rsidR="00C60BF6">
        <w:t xml:space="preserve">, </w:t>
      </w:r>
      <w:r>
        <w:t xml:space="preserve">je sentais un frémissement et une convergence de vue de quelques acteurs, dont Michel </w:t>
      </w:r>
      <w:proofErr w:type="spellStart"/>
      <w:r>
        <w:t>Teyssedou</w:t>
      </w:r>
      <w:proofErr w:type="spellEnd"/>
      <w:r>
        <w:t xml:space="preserve">, ancien président du CNJA, pour aller davantage vers une politique d’aides moins inégalitaires, plus soucieuse </w:t>
      </w:r>
      <w:r w:rsidR="0045719B">
        <w:t>d</w:t>
      </w:r>
      <w:r>
        <w:t>es régions d’élevage et économe en ressources naturelles. Lors d’une séance, la tension s’éleva devant cette « créativité » ressentie comme un dérapage par certains. Je me trouvais assis par hasard à côté d’Henri de Beno</w:t>
      </w:r>
      <w:r w:rsidR="00C60BF6">
        <w:t>is</w:t>
      </w:r>
      <w:r>
        <w:t>t</w:t>
      </w:r>
      <w:r w:rsidR="00C60BF6">
        <w:t xml:space="preserve"> (1939 – 2023)</w:t>
      </w:r>
      <w:r>
        <w:t>, président de l’AGPB</w:t>
      </w:r>
      <w:r w:rsidR="0045719B">
        <w:t xml:space="preserve"> (Association générale des </w:t>
      </w:r>
      <w:r w:rsidR="00C60BF6">
        <w:t>producteurs de blé et autres céréales</w:t>
      </w:r>
      <w:r w:rsidR="0045719B">
        <w:t>)</w:t>
      </w:r>
      <w:r>
        <w:t>, assisté de son conseiller. En mouvement d’impatience, le premier se retourna vers le second et dit à peu près : « </w:t>
      </w:r>
      <w:r w:rsidR="0059494E">
        <w:t>C</w:t>
      </w:r>
      <w:r>
        <w:t xml:space="preserve">a suffit comme ça, ce n’est pas ici que ça se décide, j’ai rendez-vous demain à </w:t>
      </w:r>
      <w:proofErr w:type="gramStart"/>
      <w:r>
        <w:t>l’Elysée,  on</w:t>
      </w:r>
      <w:proofErr w:type="gramEnd"/>
      <w:r>
        <w:t xml:space="preserve"> s’en va ». </w:t>
      </w:r>
      <w:r w:rsidRPr="00F35BC8">
        <w:rPr>
          <w:i/>
          <w:iCs/>
        </w:rPr>
        <w:t>Ite missa est</w:t>
      </w:r>
      <w:r>
        <w:t>. (</w:t>
      </w:r>
      <w:proofErr w:type="gramStart"/>
      <w:r>
        <w:t>page</w:t>
      </w:r>
      <w:proofErr w:type="gramEnd"/>
      <w:r>
        <w:t xml:space="preserve"> 23)</w:t>
      </w:r>
    </w:p>
    <w:p w14:paraId="6570CB19" w14:textId="430B8F60" w:rsidR="00713F1A" w:rsidRDefault="00713F1A" w:rsidP="00360FE9">
      <w:pPr>
        <w:jc w:val="both"/>
      </w:pPr>
      <w:r>
        <w:t>L’accueil de mes analyses a toujours été décevant : le plus souvent fait de scepticisme, et parfois même exprimé de manière, disons, moins civile.  J’ai eu peu de rapports avec la FNSEA</w:t>
      </w:r>
      <w:r w:rsidR="002328FA">
        <w:t xml:space="preserve"> </w:t>
      </w:r>
      <w:r w:rsidR="00C744B8">
        <w:t xml:space="preserve">(le syndicat agricole dominant) </w:t>
      </w:r>
      <w:r w:rsidR="002328FA">
        <w:t xml:space="preserve">mais je fus invité par sa commission économique pour présenter le livre cosigné avec François </w:t>
      </w:r>
      <w:proofErr w:type="spellStart"/>
      <w:r w:rsidR="002328FA">
        <w:t>Ortalo</w:t>
      </w:r>
      <w:proofErr w:type="spellEnd"/>
      <w:r w:rsidR="002328FA">
        <w:t>-Magné, sans doute parce qu’une ancienne élève, Manon Launay, y était animatrice depuis quelque temps. La seule personne qui m’a laissé en cette occasion le souvenir d’un intérêt pour mon propos était une élue du bureau de la FNSEA d’origine danoise</w:t>
      </w:r>
      <w:r w:rsidR="006C45C7">
        <w:t>. E</w:t>
      </w:r>
      <w:r w:rsidR="002328FA">
        <w:t>ffets d’une autre culture, ou d’institutions informelles, comme dirait Douglas</w:t>
      </w:r>
      <w:r w:rsidR="00AE1651">
        <w:t>s</w:t>
      </w:r>
      <w:r w:rsidR="002328FA">
        <w:t xml:space="preserve"> North</w:t>
      </w:r>
      <w:r w:rsidR="006C45C7">
        <w:t> ?</w:t>
      </w:r>
      <w:r w:rsidR="002328FA">
        <w:t xml:space="preserve"> (</w:t>
      </w:r>
      <w:proofErr w:type="gramStart"/>
      <w:r w:rsidR="002328FA">
        <w:t>pp.</w:t>
      </w:r>
      <w:proofErr w:type="gramEnd"/>
      <w:r w:rsidR="002328FA">
        <w:t xml:space="preserve"> 23-24)</w:t>
      </w:r>
    </w:p>
    <w:p w14:paraId="66F785CB" w14:textId="62C5B95A" w:rsidR="00D57F79" w:rsidRDefault="0067668C" w:rsidP="00360FE9">
      <w:pPr>
        <w:jc w:val="both"/>
      </w:pPr>
      <w:r>
        <w:t xml:space="preserve">Le budget agricole communautaire donne lieu à un </w:t>
      </w:r>
      <w:r w:rsidR="003E3815">
        <w:t>« </w:t>
      </w:r>
      <w:r>
        <w:t>dilemme du prisonnier</w:t>
      </w:r>
      <w:r w:rsidR="003E3815">
        <w:t> »</w:t>
      </w:r>
      <w:r>
        <w:t xml:space="preserve"> qui crée un biais structurel vers la croissance des dépenses</w:t>
      </w:r>
      <w:r w:rsidR="00AE1651">
        <w:t xml:space="preserve"> (</w:t>
      </w:r>
      <w:r w:rsidR="00C60BF6">
        <w:t xml:space="preserve">en économie </w:t>
      </w:r>
      <w:r w:rsidR="00AE1651">
        <w:t>le dilemme du prisonnier évoque la théorie selon laquelle le manque de coopération entre protagonistes conduit à des options sous-optimales)</w:t>
      </w:r>
      <w:r>
        <w:t>. Et la France a trop joué ce jeu. Dès lors, il y a</w:t>
      </w:r>
      <w:r w:rsidR="00083E4B">
        <w:t>vait</w:t>
      </w:r>
      <w:r>
        <w:t xml:space="preserve"> une quasi</w:t>
      </w:r>
      <w:r w:rsidR="00C744B8">
        <w:t>-</w:t>
      </w:r>
      <w:r>
        <w:t xml:space="preserve">incapacité à décider au niveau communautaire de politiques agricoles bonnes pour la société européenne. </w:t>
      </w:r>
      <w:r w:rsidR="00D57F79">
        <w:t>(</w:t>
      </w:r>
      <w:proofErr w:type="gramStart"/>
      <w:r w:rsidR="00D57F79">
        <w:t>page</w:t>
      </w:r>
      <w:proofErr w:type="gramEnd"/>
      <w:r w:rsidR="00D57F79">
        <w:t xml:space="preserve"> 34)</w:t>
      </w:r>
    </w:p>
    <w:p w14:paraId="22E9BF95" w14:textId="27D03012" w:rsidR="0067668C" w:rsidRDefault="00D57F79" w:rsidP="00360FE9">
      <w:pPr>
        <w:jc w:val="both"/>
      </w:pPr>
      <w:r>
        <w:t>Une question d’inefficacité institutionnelle a aussi émergé lors du rapport rédigé avec Jean-Christophe Bureau</w:t>
      </w:r>
      <w:r w:rsidR="00C60BF6">
        <w:t>, professeur d’économie à AgroParisTech,</w:t>
      </w:r>
      <w:r>
        <w:t xml:space="preserve"> pour le Parlement européen sur la crise laitière en 2015. Le constat était que la Commission européenne en charge des organisations communes de marché (OCM) n’intervenait que pour éteindre les incendies lors des chutes importantes de prix, et cela sous la menace des tracteurs à Bruxelles. Mais elle n’intervenait jamais lorsque les prix s’envolaient car aucun lobby ne </w:t>
      </w:r>
      <w:r>
        <w:lastRenderedPageBreak/>
        <w:t xml:space="preserve">venait alors réclamer une baisse des prix pour freiner la machine à produire du lait. </w:t>
      </w:r>
      <w:r w:rsidR="0067668C">
        <w:t>(</w:t>
      </w:r>
      <w:proofErr w:type="gramStart"/>
      <w:r w:rsidR="0067668C">
        <w:t>page</w:t>
      </w:r>
      <w:proofErr w:type="gramEnd"/>
      <w:r w:rsidR="005242BE">
        <w:t xml:space="preserve"> </w:t>
      </w:r>
      <w:r w:rsidR="0067668C">
        <w:t>34)</w:t>
      </w:r>
    </w:p>
    <w:p w14:paraId="1B6FB01E" w14:textId="2D70DF65" w:rsidR="00083E4B" w:rsidRPr="00083E4B" w:rsidRDefault="00083E4B" w:rsidP="00A35DA1">
      <w:pPr>
        <w:jc w:val="both"/>
        <w:rPr>
          <w:b/>
          <w:bCs/>
        </w:rPr>
      </w:pPr>
      <w:r w:rsidRPr="00083E4B">
        <w:rPr>
          <w:b/>
          <w:bCs/>
        </w:rPr>
        <w:t xml:space="preserve">La politique </w:t>
      </w:r>
      <w:r>
        <w:rPr>
          <w:b/>
          <w:bCs/>
        </w:rPr>
        <w:t>captiv</w:t>
      </w:r>
      <w:r w:rsidRPr="00083E4B">
        <w:rPr>
          <w:b/>
          <w:bCs/>
        </w:rPr>
        <w:t>e d’une minorité</w:t>
      </w:r>
    </w:p>
    <w:p w14:paraId="5AF7D76D" w14:textId="11543CD0" w:rsidR="00A35DA1" w:rsidRDefault="00A35DA1" w:rsidP="00A35DA1">
      <w:pPr>
        <w:jc w:val="both"/>
      </w:pPr>
      <w:r>
        <w:t>Pourquoi la politique agricole est-elle à ce point peu réformable ?  Les pays riches soutiennent fortement leur agriculture et les pays pauvres la taxent. Dans les deux c</w:t>
      </w:r>
      <w:r w:rsidR="00360FE9">
        <w:t>as</w:t>
      </w:r>
      <w:r>
        <w:t>, le succès politique d’une petite minorité est au cœur du problème. Pourquoi l’Insee ne publie-t-il pas le niveau de patrimoine du premier décile des agriculteurs et s’arrête-t-il au second décile</w:t>
      </w:r>
      <w:r w:rsidR="001B5812">
        <w:t xml:space="preserve"> ? </w:t>
      </w:r>
      <w:r>
        <w:t xml:space="preserve">Est-il sain que la cour de </w:t>
      </w:r>
      <w:proofErr w:type="spellStart"/>
      <w:r>
        <w:t>Karlsuhe</w:t>
      </w:r>
      <w:proofErr w:type="spellEnd"/>
      <w:r>
        <w:t xml:space="preserve"> ait été en mesure de mettre fin à la publication en ligne des noms des bénéficiaires des aides de la PAC et des sommes perçues ? Les aides proportionnelles à l’hectare créent des rentes de situation sans résoudre les problèmes de pauvreté dans le rural profond. Louis Malassis lui-même avait dit s’inquiéter </w:t>
      </w:r>
      <w:r w:rsidR="005242BE">
        <w:t xml:space="preserve">de ce </w:t>
      </w:r>
      <w:r>
        <w:t xml:space="preserve">que l’agriculture ne passe d’une « époque de pionniers à une époque de rentiers ». Ce n’était </w:t>
      </w:r>
      <w:r w:rsidR="006C45C7">
        <w:t xml:space="preserve">pourtant </w:t>
      </w:r>
      <w:r>
        <w:t>pas un révolutionnaire.  (</w:t>
      </w:r>
      <w:proofErr w:type="gramStart"/>
      <w:r>
        <w:t>page</w:t>
      </w:r>
      <w:proofErr w:type="gramEnd"/>
      <w:r>
        <w:t xml:space="preserve"> 40) </w:t>
      </w:r>
    </w:p>
    <w:p w14:paraId="4A2E5870" w14:textId="7D79B160" w:rsidR="00E21E19" w:rsidRDefault="00E21E19" w:rsidP="00A35DA1">
      <w:pPr>
        <w:jc w:val="both"/>
      </w:pPr>
      <w:r>
        <w:t xml:space="preserve">Il n’est </w:t>
      </w:r>
      <w:r w:rsidR="00787634">
        <w:t>pas admissible</w:t>
      </w:r>
      <w:r>
        <w:t xml:space="preserve"> que nos systèmes politiques démocratiques aient laissé les bénéfices de la croissance de ces 20 ou 30 </w:t>
      </w:r>
      <w:r w:rsidR="00787634">
        <w:t>dernières</w:t>
      </w:r>
      <w:r>
        <w:t xml:space="preserve"> années captés par une infime minorité d’ultra-riches, qui en outre gâtent la démocratie, </w:t>
      </w:r>
      <w:r w:rsidR="00787634">
        <w:t>comme</w:t>
      </w:r>
      <w:r>
        <w:t xml:space="preserve"> John K. Galbraith l’avait </w:t>
      </w:r>
      <w:r w:rsidR="006C45C7">
        <w:t>remarqu</w:t>
      </w:r>
      <w:r>
        <w:t>é.</w:t>
      </w:r>
      <w:r w:rsidR="00787634">
        <w:t xml:space="preserve"> </w:t>
      </w:r>
      <w:r>
        <w:t>(</w:t>
      </w:r>
      <w:proofErr w:type="gramStart"/>
      <w:r>
        <w:t>page</w:t>
      </w:r>
      <w:proofErr w:type="gramEnd"/>
      <w:r>
        <w:t xml:space="preserve"> 41)</w:t>
      </w:r>
    </w:p>
    <w:p w14:paraId="7C93DC8C" w14:textId="68DD1B9B" w:rsidR="0092342A" w:rsidRPr="004504E9" w:rsidRDefault="0092342A" w:rsidP="00A35DA1">
      <w:pPr>
        <w:jc w:val="both"/>
        <w:rPr>
          <w:b/>
          <w:bCs/>
        </w:rPr>
      </w:pPr>
      <w:r w:rsidRPr="004504E9">
        <w:rPr>
          <w:b/>
          <w:bCs/>
        </w:rPr>
        <w:t>Conflits d’intérêt intellectuels</w:t>
      </w:r>
    </w:p>
    <w:p w14:paraId="545DB779" w14:textId="2D15EA62" w:rsidR="009344C4" w:rsidRDefault="0092342A" w:rsidP="00A35DA1">
      <w:pPr>
        <w:jc w:val="both"/>
      </w:pPr>
      <w:r>
        <w:t xml:space="preserve">La France a, me semble-t-il, des institutions </w:t>
      </w:r>
      <w:r w:rsidR="009344C4">
        <w:t xml:space="preserve">et des </w:t>
      </w:r>
      <w:r w:rsidR="006B7AB3">
        <w:t>habitudes</w:t>
      </w:r>
      <w:r w:rsidR="009344C4">
        <w:t xml:space="preserve"> particulières </w:t>
      </w:r>
      <w:r w:rsidR="00083E4B">
        <w:t>en ce sens que l</w:t>
      </w:r>
      <w:r w:rsidR="009344C4">
        <w:t xml:space="preserve">’expertise repose sur </w:t>
      </w:r>
      <w:r w:rsidR="006B7AB3">
        <w:t>un</w:t>
      </w:r>
      <w:r w:rsidR="009344C4">
        <w:t xml:space="preserve"> </w:t>
      </w:r>
      <w:r w:rsidR="006B7AB3">
        <w:t>triangle</w:t>
      </w:r>
      <w:r w:rsidR="009344C4">
        <w:t xml:space="preserve"> constitué des </w:t>
      </w:r>
      <w:r w:rsidR="006B7AB3">
        <w:t>inspections</w:t>
      </w:r>
      <w:r w:rsidR="009344C4">
        <w:t xml:space="preserve"> générales des ministères, des universités et des instituts de recherche, enfin de consultants privés et de cabinets</w:t>
      </w:r>
      <w:r w:rsidR="00083E4B">
        <w:t xml:space="preserve">. Ces derniers </w:t>
      </w:r>
      <w:r w:rsidR="009344C4">
        <w:t xml:space="preserve">ont pris une importance </w:t>
      </w:r>
      <w:r w:rsidR="006B7AB3">
        <w:t>croissante</w:t>
      </w:r>
      <w:r w:rsidR="009344C4">
        <w:t xml:space="preserve"> ces </w:t>
      </w:r>
      <w:r w:rsidR="006B7AB3">
        <w:t>dernières</w:t>
      </w:r>
      <w:r w:rsidR="009344C4">
        <w:t xml:space="preserve"> décennies</w:t>
      </w:r>
      <w:r w:rsidR="00083E4B">
        <w:t>. L</w:t>
      </w:r>
      <w:r w:rsidR="009344C4">
        <w:t>e</w:t>
      </w:r>
      <w:r w:rsidR="00083E4B">
        <w:t>ur</w:t>
      </w:r>
      <w:r w:rsidR="009344C4">
        <w:t>s rapports</w:t>
      </w:r>
      <w:r w:rsidR="00083E4B">
        <w:t xml:space="preserve"> </w:t>
      </w:r>
      <w:r w:rsidR="006B7AB3">
        <w:t>que j’ai</w:t>
      </w:r>
      <w:r w:rsidR="009344C4">
        <w:t xml:space="preserve"> pu lire </w:t>
      </w:r>
      <w:r w:rsidR="006B7AB3">
        <w:t>m’ont</w:t>
      </w:r>
      <w:r w:rsidR="009344C4">
        <w:t xml:space="preserve"> paru opportunistes et peu originaux.</w:t>
      </w:r>
      <w:r w:rsidR="006B7AB3">
        <w:t xml:space="preserve"> </w:t>
      </w:r>
      <w:r w:rsidR="009344C4">
        <w:t xml:space="preserve">Les inspections générales sont composées de gens </w:t>
      </w:r>
      <w:r w:rsidR="006B7AB3">
        <w:t>expérimentés</w:t>
      </w:r>
      <w:r w:rsidR="009344C4">
        <w:t xml:space="preserve"> et compétents, </w:t>
      </w:r>
      <w:r w:rsidR="006B7AB3">
        <w:t>m</w:t>
      </w:r>
      <w:r w:rsidR="009344C4">
        <w:t xml:space="preserve">ais leur </w:t>
      </w:r>
      <w:r w:rsidR="006B7AB3">
        <w:t>indépendance</w:t>
      </w:r>
      <w:r w:rsidR="009344C4">
        <w:t xml:space="preserve"> bute sur leur </w:t>
      </w:r>
      <w:r w:rsidR="006B7AB3">
        <w:t>appartenance</w:t>
      </w:r>
      <w:r w:rsidR="009344C4">
        <w:t xml:space="preserve"> au ministère qui leur demande un avis. En outre, leur culture est celle de leur administration. Il est très difficile dans ces </w:t>
      </w:r>
      <w:r w:rsidR="006B7AB3">
        <w:t>conditions</w:t>
      </w:r>
      <w:r w:rsidR="009344C4">
        <w:t xml:space="preserve"> de fournir au </w:t>
      </w:r>
      <w:r w:rsidR="006B7AB3">
        <w:t>ministre</w:t>
      </w:r>
      <w:r w:rsidR="009344C4">
        <w:t xml:space="preserve"> </w:t>
      </w:r>
      <w:r w:rsidR="003E3815">
        <w:t>l</w:t>
      </w:r>
      <w:r w:rsidR="009344C4">
        <w:t>es options dérangeantes</w:t>
      </w:r>
      <w:r w:rsidR="003E3815">
        <w:t xml:space="preserve"> qui</w:t>
      </w:r>
      <w:r w:rsidR="009344C4">
        <w:t xml:space="preserve"> </w:t>
      </w:r>
      <w:r w:rsidR="00083E4B">
        <w:t>s</w:t>
      </w:r>
      <w:r w:rsidR="009344C4">
        <w:t xml:space="preserve">ont </w:t>
      </w:r>
      <w:r w:rsidR="006B7AB3">
        <w:t>inévitables</w:t>
      </w:r>
      <w:r w:rsidR="009344C4">
        <w:t xml:space="preserve"> à long terme. Cette construction crée un </w:t>
      </w:r>
      <w:r w:rsidR="006B7AB3">
        <w:t>« conflit d’intérêt intellectuel »</w:t>
      </w:r>
      <w:r w:rsidR="00083E4B">
        <w:t xml:space="preserve"> dont l’effet est d’entretenir un discours peu </w:t>
      </w:r>
      <w:r w:rsidR="006B7AB3">
        <w:t>éloign</w:t>
      </w:r>
      <w:r w:rsidR="00083E4B">
        <w:t>é</w:t>
      </w:r>
      <w:r w:rsidR="006B7AB3">
        <w:t xml:space="preserve"> des « consensus maison ». (</w:t>
      </w:r>
      <w:proofErr w:type="gramStart"/>
      <w:r w:rsidR="006B7AB3">
        <w:t>page</w:t>
      </w:r>
      <w:proofErr w:type="gramEnd"/>
      <w:r w:rsidR="006B7AB3">
        <w:t xml:space="preserve"> 25)</w:t>
      </w:r>
    </w:p>
    <w:p w14:paraId="7F37D025" w14:textId="78F449C6" w:rsidR="006902EC" w:rsidRPr="009F46C0" w:rsidRDefault="005242BE" w:rsidP="006902EC">
      <w:pPr>
        <w:jc w:val="both"/>
        <w:rPr>
          <w:b/>
          <w:bCs/>
        </w:rPr>
      </w:pPr>
      <w:r>
        <w:rPr>
          <w:b/>
          <w:bCs/>
        </w:rPr>
        <w:t>Influence nulle sur l’a</w:t>
      </w:r>
      <w:r w:rsidR="006902EC" w:rsidRPr="009F46C0">
        <w:rPr>
          <w:b/>
          <w:bCs/>
        </w:rPr>
        <w:t>griculture bretonne</w:t>
      </w:r>
      <w:r w:rsidR="006902EC">
        <w:rPr>
          <w:b/>
          <w:bCs/>
        </w:rPr>
        <w:t> </w:t>
      </w:r>
    </w:p>
    <w:p w14:paraId="1B39272F" w14:textId="3CCD7676" w:rsidR="006902EC" w:rsidRDefault="006902EC" w:rsidP="006902EC">
      <w:pPr>
        <w:jc w:val="both"/>
      </w:pPr>
      <w:r>
        <w:t xml:space="preserve">Au tournant des années 2000, après l’étude prospective sur l’agriculture bretonne, dans une présentation au Conseil économique et social </w:t>
      </w:r>
      <w:r w:rsidR="006C45C7">
        <w:t xml:space="preserve">régional </w:t>
      </w:r>
      <w:r>
        <w:t>(CES</w:t>
      </w:r>
      <w:r w:rsidR="006C45C7">
        <w:t>R</w:t>
      </w:r>
      <w:r>
        <w:t>) de Bretagne, je faisais le lien entre la réforme Fischler</w:t>
      </w:r>
      <w:r w:rsidR="003E3815">
        <w:rPr>
          <w:rStyle w:val="FootnoteReference"/>
        </w:rPr>
        <w:footnoteReference w:id="5"/>
      </w:r>
      <w:r>
        <w:t xml:space="preserve"> </w:t>
      </w:r>
      <w:r w:rsidR="00C60BF6">
        <w:t xml:space="preserve">qui </w:t>
      </w:r>
      <w:r>
        <w:t xml:space="preserve">appelait à découpler les subventions de la production et les conclusions de notre étude sur la Bretagne, dont l’un des problèmes était l’exportation de volailles de bas de gamme vers le Moyen-Orient à l’aide des restitutions. </w:t>
      </w:r>
      <w:r>
        <w:lastRenderedPageBreak/>
        <w:t>Je soulignais qu’il était temps de revoir cette stratégie car les aides à l’exportation allaient disparaître dans un avenir proche. Les agriculteurs, qui étaient très bien représentés au CES</w:t>
      </w:r>
      <w:r w:rsidR="006C45C7">
        <w:t>R</w:t>
      </w:r>
      <w:r>
        <w:t xml:space="preserve">, ont nié la </w:t>
      </w:r>
      <w:proofErr w:type="gramStart"/>
      <w:r>
        <w:t>quasi évidence</w:t>
      </w:r>
      <w:proofErr w:type="gramEnd"/>
      <w:r>
        <w:t xml:space="preserve"> et réaffirmé que le maintien des restitutions était leur priorité. On connaît les difficultés de l’entreprise Doux par la suite.</w:t>
      </w:r>
      <w:r w:rsidR="005242BE">
        <w:rPr>
          <w:rStyle w:val="FootnoteReference"/>
        </w:rPr>
        <w:footnoteReference w:id="6"/>
      </w:r>
      <w:r>
        <w:t xml:space="preserve"> (page 24)</w:t>
      </w:r>
    </w:p>
    <w:p w14:paraId="7AA106C5" w14:textId="349770E6" w:rsidR="006902EC" w:rsidRDefault="006902EC" w:rsidP="006902EC">
      <w:pPr>
        <w:jc w:val="both"/>
      </w:pPr>
      <w:r>
        <w:t xml:space="preserve">J’ai aussi insisté sur les problèmes des excédents azotés et sur la nécessité de se rapprocher des principes « pollueur-payeur » (PPP) et « pourvoyeur d’aménités payé » (PAP). </w:t>
      </w:r>
      <w:r w:rsidR="006C45C7">
        <w:t>U</w:t>
      </w:r>
      <w:r>
        <w:t>n élu important dans les chambres d’agriculture, régionale et nationale, me prit à partie vertement en alléguant que je ne connaissais pas la situation et en insinuant mon incompétence. (</w:t>
      </w:r>
      <w:proofErr w:type="gramStart"/>
      <w:r>
        <w:t>page</w:t>
      </w:r>
      <w:proofErr w:type="gramEnd"/>
      <w:r>
        <w:t xml:space="preserve"> 24)</w:t>
      </w:r>
    </w:p>
    <w:p w14:paraId="0E8DA576" w14:textId="77777777" w:rsidR="006902EC" w:rsidRDefault="006902EC" w:rsidP="006902EC">
      <w:pPr>
        <w:jc w:val="both"/>
      </w:pPr>
      <w:r>
        <w:t>Ma contribution à la réforme du modèle breton a donc été faible et mon influence, nulle. J’ai essayé de faire passer l’idée du rééquilibrage de la protection en faveur des zones d’élevage au ministère de l’Agriculture et à la commission du Plan, mais l’accueil fut très sceptique. Evidemment, puisqu’elle impliquait une baisse de la protection sur les céréales, une sorte de tabou en France. (</w:t>
      </w:r>
      <w:proofErr w:type="gramStart"/>
      <w:r>
        <w:t>page</w:t>
      </w:r>
      <w:proofErr w:type="gramEnd"/>
      <w:r>
        <w:t xml:space="preserve"> 22)</w:t>
      </w:r>
    </w:p>
    <w:p w14:paraId="13412270" w14:textId="2F567BCA" w:rsidR="006902EC" w:rsidRDefault="006902EC" w:rsidP="006902EC">
      <w:pPr>
        <w:jc w:val="both"/>
      </w:pPr>
      <w:r>
        <w:t>En 2010, une conférence fut organisée par la chambre régionale d’Agriculture de Bretagne à Josselin</w:t>
      </w:r>
      <w:r w:rsidR="00C60BF6">
        <w:t xml:space="preserve"> (Morbihan)</w:t>
      </w:r>
      <w:r>
        <w:t xml:space="preserve">, présidée par le préfet de région. L’idée du président et du directeur de la Chambre régionale d’agriculture était de faire le point sur les enjeux du modèle breton et d’avoir une réflexion ouverte sur son avenir. Mon exposé </w:t>
      </w:r>
      <w:r w:rsidR="003255E9">
        <w:t>fit</w:t>
      </w:r>
      <w:r>
        <w:t xml:space="preserve"> trois </w:t>
      </w:r>
      <w:r w:rsidR="003255E9">
        <w:t>suggestions</w:t>
      </w:r>
      <w:r>
        <w:t xml:space="preserve"> : </w:t>
      </w:r>
    </w:p>
    <w:p w14:paraId="44D2CFDF" w14:textId="77777777" w:rsidR="006902EC" w:rsidRDefault="006902EC" w:rsidP="006902EC">
      <w:pPr>
        <w:pStyle w:val="ListParagraph"/>
        <w:numPr>
          <w:ilvl w:val="0"/>
          <w:numId w:val="1"/>
        </w:numPr>
        <w:jc w:val="both"/>
      </w:pPr>
      <w:proofErr w:type="gramStart"/>
      <w:r>
        <w:t>regrouper</w:t>
      </w:r>
      <w:proofErr w:type="gramEnd"/>
      <w:r>
        <w:t xml:space="preserve"> l’offre des productions génériques ou basiques pour rééquilibrer le pouvoir de marché,</w:t>
      </w:r>
      <w:r w:rsidRPr="0049434A">
        <w:t xml:space="preserve"> </w:t>
      </w:r>
      <w:r>
        <w:t>selon le modèle danois,</w:t>
      </w:r>
    </w:p>
    <w:p w14:paraId="667D65CA" w14:textId="55868330" w:rsidR="006902EC" w:rsidRDefault="006902EC" w:rsidP="006902EC">
      <w:pPr>
        <w:pStyle w:val="ListParagraph"/>
        <w:numPr>
          <w:ilvl w:val="0"/>
          <w:numId w:val="1"/>
        </w:numPr>
        <w:jc w:val="both"/>
      </w:pPr>
      <w:proofErr w:type="gramStart"/>
      <w:r>
        <w:t>centrer</w:t>
      </w:r>
      <w:proofErr w:type="gramEnd"/>
      <w:r>
        <w:t xml:space="preserve"> les aides publiques sur la qualité, les projets innovants et risqués, et le</w:t>
      </w:r>
      <w:r w:rsidR="003E3815">
        <w:t>s</w:t>
      </w:r>
      <w:r>
        <w:t xml:space="preserve"> niches (plutôt que </w:t>
      </w:r>
      <w:r w:rsidR="005242BE">
        <w:t xml:space="preserve">sur les moyens de </w:t>
      </w:r>
      <w:r>
        <w:t>conforter l’existant),</w:t>
      </w:r>
    </w:p>
    <w:p w14:paraId="73B6F708" w14:textId="10715A36" w:rsidR="006902EC" w:rsidRDefault="00C60BF6" w:rsidP="006902EC">
      <w:pPr>
        <w:pStyle w:val="ListParagraph"/>
        <w:numPr>
          <w:ilvl w:val="0"/>
          <w:numId w:val="1"/>
        </w:numPr>
        <w:jc w:val="both"/>
      </w:pPr>
      <w:proofErr w:type="gramStart"/>
      <w:r>
        <w:t>résoudre</w:t>
      </w:r>
      <w:proofErr w:type="gramEnd"/>
      <w:r>
        <w:t xml:space="preserve"> le problème de</w:t>
      </w:r>
      <w:r w:rsidR="006902EC">
        <w:t>s dommages environnement</w:t>
      </w:r>
      <w:r>
        <w:t>aux</w:t>
      </w:r>
      <w:r w:rsidR="006902EC">
        <w:t xml:space="preserve"> </w:t>
      </w:r>
      <w:r>
        <w:t>par</w:t>
      </w:r>
      <w:r w:rsidR="006902EC">
        <w:t xml:space="preserve"> une approche différenciée en zones selon les potentialités et les contraintes de la nature.  </w:t>
      </w:r>
    </w:p>
    <w:p w14:paraId="4D2FE963" w14:textId="5F783E0A" w:rsidR="006902EC" w:rsidRDefault="006902EC" w:rsidP="006902EC">
      <w:pPr>
        <w:jc w:val="both"/>
      </w:pPr>
      <w:r>
        <w:t>L’accueil fut assez favorable, mais très vite les représentants du Comité régional porcin sonn</w:t>
      </w:r>
      <w:r w:rsidR="00C60BF6">
        <w:t>èrent</w:t>
      </w:r>
      <w:r>
        <w:t xml:space="preserve"> la charge sur les menaces exercées sur un secteur essentiel de la région. (</w:t>
      </w:r>
      <w:proofErr w:type="gramStart"/>
      <w:r>
        <w:t>page</w:t>
      </w:r>
      <w:proofErr w:type="gramEnd"/>
      <w:r>
        <w:t>24)</w:t>
      </w:r>
    </w:p>
    <w:p w14:paraId="421961FE" w14:textId="77777777" w:rsidR="006902EC" w:rsidRPr="00974A6F" w:rsidRDefault="006902EC" w:rsidP="006902EC">
      <w:pPr>
        <w:jc w:val="both"/>
        <w:rPr>
          <w:b/>
          <w:bCs/>
        </w:rPr>
      </w:pPr>
      <w:r w:rsidRPr="00974A6F">
        <w:rPr>
          <w:b/>
          <w:bCs/>
        </w:rPr>
        <w:t>L</w:t>
      </w:r>
      <w:r>
        <w:rPr>
          <w:b/>
          <w:bCs/>
        </w:rPr>
        <w:t>’impasse du</w:t>
      </w:r>
      <w:r w:rsidRPr="00974A6F">
        <w:rPr>
          <w:b/>
          <w:bCs/>
        </w:rPr>
        <w:t xml:space="preserve"> modèle breton</w:t>
      </w:r>
    </w:p>
    <w:p w14:paraId="62D11DBF" w14:textId="490D1EF4" w:rsidR="006902EC" w:rsidRDefault="006902EC" w:rsidP="006902EC">
      <w:pPr>
        <w:jc w:val="both"/>
      </w:pPr>
      <w:r>
        <w:t xml:space="preserve">C’est le professeur Yves Morvan, </w:t>
      </w:r>
      <w:r w:rsidR="00C60BF6">
        <w:t xml:space="preserve">doyen de la faculté de droit et de sciences économiques de Rennes, </w:t>
      </w:r>
      <w:r>
        <w:t xml:space="preserve">alors président du CESR, qui a organisé habilement en 1997 un tour de table associant administration préfectorale, conseil régional et CESR pour me commander une étude prospective. Il était de bon ton de dire et de lire à l’époque en Bretagne que l’agriculture et l’agroalimentaire étaient la principale source de richesse et d’emploi. Nous avons nuancé cette affirmation en montrant à l’aide d’un </w:t>
      </w:r>
      <w:r w:rsidR="00C60BF6">
        <w:t>t</w:t>
      </w:r>
      <w:r>
        <w:t xml:space="preserve">ableau d’échanges inter-industriels que les effets d’entrainement de cette agriculture de transformation étaient </w:t>
      </w:r>
      <w:r>
        <w:lastRenderedPageBreak/>
        <w:t>limités et que la polarisation des activités intensives sur le territoire dégradait la nature et exacerbait les concurrences d’usage de l’espace avec des demandes de résidence et de loisirs. Quant à la qualité des produits régionaux, elle restait basique et sans protections intellectuelles notables. (</w:t>
      </w:r>
      <w:proofErr w:type="gramStart"/>
      <w:r>
        <w:t>page</w:t>
      </w:r>
      <w:proofErr w:type="gramEnd"/>
      <w:r>
        <w:t xml:space="preserve"> 37)</w:t>
      </w:r>
    </w:p>
    <w:p w14:paraId="0B6F0560" w14:textId="4566CD47" w:rsidR="006902EC" w:rsidRDefault="006902EC" w:rsidP="006902EC">
      <w:pPr>
        <w:jc w:val="both"/>
      </w:pPr>
      <w:r>
        <w:t>A la fin des années 1990, les émissions d’azote dans la région étaient de 60% supérieures à la moyenne nationale ; on observait une régression inexorable des prairies au bénéfice des cultures primées (</w:t>
      </w:r>
      <w:r w:rsidR="00C60BF6">
        <w:t xml:space="preserve">bénéficiant </w:t>
      </w:r>
      <w:r>
        <w:t xml:space="preserve">d’aides), signe clair des effets pervers de la PAC. Les programmes de lutte contre les pollutions reposaient sur des mesures curatives financées par les contribuables (algues vertes) et les usagers (eau), et peu sur des incitations (les redevances prévues n’étant pas perçues). D’importantes enveloppes d’aides étaient attribuées </w:t>
      </w:r>
      <w:r w:rsidR="00C60BF6">
        <w:t xml:space="preserve">sans </w:t>
      </w:r>
      <w:r>
        <w:t>donn</w:t>
      </w:r>
      <w:r w:rsidR="00C60BF6">
        <w:t>er</w:t>
      </w:r>
      <w:r>
        <w:t xml:space="preserve"> les bons signaux économiques. On sait depuis longtemps que les subventions à la dépollution sont en général contre-productives. Au total, à la fin des années </w:t>
      </w:r>
      <w:r w:rsidR="00CF5C45">
        <w:t>1</w:t>
      </w:r>
      <w:r>
        <w:t>990, la durabilité économique de l’agriculture bretonne apparaissait plutôt défavorable. Malgré quelques progrès</w:t>
      </w:r>
      <w:r w:rsidR="00C60BF6">
        <w:t>,</w:t>
      </w:r>
      <w:r>
        <w:t xml:space="preserve"> les problèmes sont encore largement présents. (</w:t>
      </w:r>
      <w:proofErr w:type="gramStart"/>
      <w:r>
        <w:t>page</w:t>
      </w:r>
      <w:proofErr w:type="gramEnd"/>
      <w:r>
        <w:t xml:space="preserve"> 37)</w:t>
      </w:r>
    </w:p>
    <w:p w14:paraId="2DBA3A9C" w14:textId="6A92C82F" w:rsidR="00A4039F" w:rsidRPr="00433AB6" w:rsidRDefault="00CF5C45">
      <w:pPr>
        <w:rPr>
          <w:b/>
          <w:bCs/>
        </w:rPr>
      </w:pPr>
      <w:r>
        <w:rPr>
          <w:b/>
          <w:bCs/>
        </w:rPr>
        <w:t>L</w:t>
      </w:r>
      <w:r w:rsidR="00A4039F" w:rsidRPr="00433AB6">
        <w:rPr>
          <w:b/>
          <w:bCs/>
        </w:rPr>
        <w:t>a recherch</w:t>
      </w:r>
      <w:r w:rsidR="00AE06CF" w:rsidRPr="00433AB6">
        <w:rPr>
          <w:b/>
          <w:bCs/>
        </w:rPr>
        <w:t>e</w:t>
      </w:r>
      <w:r>
        <w:rPr>
          <w:b/>
          <w:bCs/>
        </w:rPr>
        <w:t xml:space="preserve"> agronomique (Inra) sous emprise idéologique</w:t>
      </w:r>
    </w:p>
    <w:p w14:paraId="22E645D6" w14:textId="0D88C167" w:rsidR="00AE06CF" w:rsidRDefault="00AE06CF" w:rsidP="00671DA6">
      <w:pPr>
        <w:jc w:val="both"/>
      </w:pPr>
      <w:r>
        <w:t>Au retour des Etats-Unis, l’Inra</w:t>
      </w:r>
      <w:r w:rsidR="00C60BF6">
        <w:t xml:space="preserve"> </w:t>
      </w:r>
      <w:r>
        <w:t>m’a accueilli avec réserve, sinon hostilité</w:t>
      </w:r>
      <w:r w:rsidR="006C45C7">
        <w:t>.</w:t>
      </w:r>
      <w:r>
        <w:t xml:space="preserve"> </w:t>
      </w:r>
      <w:r w:rsidR="00DA3BF8">
        <w:t>A</w:t>
      </w:r>
      <w:r>
        <w:t>u département ESR </w:t>
      </w:r>
      <w:r w:rsidR="00C60BF6">
        <w:t>(Economie et sociologie rurale)</w:t>
      </w:r>
      <w:r w:rsidR="00DA3BF8">
        <w:t>, l</w:t>
      </w:r>
      <w:r>
        <w:t>a vague post-68 prenait son essor</w:t>
      </w:r>
      <w:r w:rsidR="00DA3BF8">
        <w:t xml:space="preserve"> ; </w:t>
      </w:r>
      <w:r>
        <w:t xml:space="preserve">je revenais des Etats-Unis, un pays capitaliste et impérialiste, en guerre au Vietnam, et en plus je faisais de l’économie formalisée. </w:t>
      </w:r>
      <w:r w:rsidR="00DA3BF8">
        <w:t>J</w:t>
      </w:r>
      <w:r>
        <w:t>’étais le mouton noir !</w:t>
      </w:r>
    </w:p>
    <w:p w14:paraId="49337BD7" w14:textId="3ED367F9" w:rsidR="00A4039F" w:rsidRDefault="00A4039F" w:rsidP="00671DA6">
      <w:pPr>
        <w:jc w:val="both"/>
      </w:pPr>
      <w:r>
        <w:t xml:space="preserve">En 1973, </w:t>
      </w:r>
      <w:r w:rsidR="003255E9">
        <w:t xml:space="preserve">je me suis fait rejeter </w:t>
      </w:r>
      <w:r>
        <w:t xml:space="preserve">au concours Inra de chargé de </w:t>
      </w:r>
      <w:proofErr w:type="gramStart"/>
      <w:r>
        <w:t>recherches,.</w:t>
      </w:r>
      <w:proofErr w:type="gramEnd"/>
      <w:r>
        <w:t xml:space="preserve"> Denis Bergmann avait été mis </w:t>
      </w:r>
      <w:r w:rsidR="00AE06CF">
        <w:t>sur la</w:t>
      </w:r>
      <w:r>
        <w:t xml:space="preserve"> touche. Michel Gervais et Claude </w:t>
      </w:r>
      <w:proofErr w:type="spellStart"/>
      <w:r>
        <w:t>Servolin</w:t>
      </w:r>
      <w:proofErr w:type="spellEnd"/>
      <w:r w:rsidR="00C60BF6">
        <w:t xml:space="preserve"> (1933 – 2022)</w:t>
      </w:r>
      <w:r>
        <w:t xml:space="preserve"> </w:t>
      </w:r>
      <w:r w:rsidR="00C60BF6">
        <w:t>(coauteurs de « Une France sans paysans » - 1965</w:t>
      </w:r>
      <w:r w:rsidR="00471848">
        <w:t xml:space="preserve"> – et figures de proue de l’approche marxiste de l’économie à l’Inra) </w:t>
      </w:r>
      <w:r w:rsidR="00AE06CF">
        <w:t>faisaient la</w:t>
      </w:r>
      <w:r>
        <w:t xml:space="preserve"> loi. L’</w:t>
      </w:r>
      <w:r w:rsidR="00AE06CF">
        <w:t>ambiance</w:t>
      </w:r>
      <w:r>
        <w:t xml:space="preserve"> était particulière, il y avait des coteries, </w:t>
      </w:r>
      <w:r w:rsidR="00AE06CF">
        <w:t>chacun</w:t>
      </w:r>
      <w:r>
        <w:t xml:space="preserve"> cherchait à recruter ses </w:t>
      </w:r>
      <w:r w:rsidR="00AE06CF">
        <w:t>poulains</w:t>
      </w:r>
      <w:r>
        <w:t xml:space="preserve">, les coups étaient souvent peu nobles et l’éthique scientifique </w:t>
      </w:r>
      <w:r w:rsidR="00AE06CF">
        <w:t>malmené</w:t>
      </w:r>
      <w:r w:rsidR="001B5812">
        <w:t>e</w:t>
      </w:r>
      <w:r>
        <w:t xml:space="preserve">. On m’a reproché d’utiliser les surplus comme </w:t>
      </w:r>
      <w:r w:rsidR="00AE06CF">
        <w:t>mesure</w:t>
      </w:r>
      <w:r>
        <w:t xml:space="preserve"> des pertes collectives.</w:t>
      </w:r>
      <w:r w:rsidR="00DA3BF8">
        <w:t xml:space="preserve"> L</w:t>
      </w:r>
      <w:r w:rsidR="00A45C6B">
        <w:t>es membres du jury ne savaient pas ce que c’était, mais avaient décidé, je pense, que c’était une méthode justifiant l’</w:t>
      </w:r>
      <w:r w:rsidR="00AE06CF">
        <w:t>ultra-libéralisme</w:t>
      </w:r>
      <w:r w:rsidR="00A45C6B">
        <w:t>. (</w:t>
      </w:r>
      <w:proofErr w:type="gramStart"/>
      <w:r w:rsidR="00A45C6B">
        <w:t>page</w:t>
      </w:r>
      <w:proofErr w:type="gramEnd"/>
      <w:r w:rsidR="00A45C6B">
        <w:t xml:space="preserve"> 13)</w:t>
      </w:r>
    </w:p>
    <w:p w14:paraId="2B085DA2" w14:textId="4F488616" w:rsidR="00360FE9" w:rsidRDefault="00360FE9" w:rsidP="00360FE9">
      <w:pPr>
        <w:jc w:val="both"/>
      </w:pPr>
      <w:r>
        <w:t>Cette méthode d’évaluation des politiques</w:t>
      </w:r>
      <w:r w:rsidR="003255E9">
        <w:t>,</w:t>
      </w:r>
      <w:r>
        <w:t xml:space="preserve"> quasi inconnue au département ESR, était déjà dans certains manuels. A la Direction de la Prévision, par exemple, elle était utilisée depuis longtemps. Si j’ai développé cet épisode, c’est parce qu’il illustre les dévoiements issus d’une gouvernance défaillante et peut-être plus gravement encore, les dangers d’une organisation institutionnelle de la recherche très centralisée, exposée au risque de « capture » bureaucratique. D’autres organisation</w:t>
      </w:r>
      <w:r w:rsidR="00CA440E">
        <w:t>s</w:t>
      </w:r>
      <w:r>
        <w:t xml:space="preserve"> en Europe et Amérique procèdent par émulation entre universités décentralisées. Elles ont donné de bons résultats. (</w:t>
      </w:r>
      <w:proofErr w:type="gramStart"/>
      <w:r>
        <w:t>page</w:t>
      </w:r>
      <w:proofErr w:type="gramEnd"/>
      <w:r>
        <w:t xml:space="preserve"> 14)</w:t>
      </w:r>
    </w:p>
    <w:p w14:paraId="06F149F2" w14:textId="5DC1D888" w:rsidR="00CA440E" w:rsidRPr="00900DFB" w:rsidRDefault="00CF5C45" w:rsidP="00CA440E">
      <w:pPr>
        <w:jc w:val="both"/>
        <w:rPr>
          <w:b/>
          <w:bCs/>
        </w:rPr>
      </w:pPr>
      <w:r>
        <w:rPr>
          <w:b/>
          <w:bCs/>
        </w:rPr>
        <w:t>R</w:t>
      </w:r>
      <w:r w:rsidR="00CA440E" w:rsidRPr="00900DFB">
        <w:rPr>
          <w:b/>
          <w:bCs/>
        </w:rPr>
        <w:t>éforme du département ESR (Economie et sociologie rurale)</w:t>
      </w:r>
      <w:r>
        <w:rPr>
          <w:b/>
          <w:bCs/>
        </w:rPr>
        <w:t xml:space="preserve"> de l’Inra</w:t>
      </w:r>
    </w:p>
    <w:p w14:paraId="71AE6E27" w14:textId="516D9525" w:rsidR="00CA440E" w:rsidRDefault="00CA440E" w:rsidP="00CA440E">
      <w:pPr>
        <w:jc w:val="both"/>
      </w:pPr>
      <w:r>
        <w:t xml:space="preserve">Dans la première moitié des années 1980, </w:t>
      </w:r>
      <w:r w:rsidR="00471848">
        <w:t>le</w:t>
      </w:r>
      <w:r>
        <w:t xml:space="preserve"> département ESR </w:t>
      </w:r>
      <w:r w:rsidR="006C45C7">
        <w:t>souhait</w:t>
      </w:r>
      <w:r w:rsidR="00471848">
        <w:t xml:space="preserve">ait </w:t>
      </w:r>
      <w:r>
        <w:t>une plus grande professionnalisation de la recherche en économie</w:t>
      </w:r>
      <w:r w:rsidR="00E15210">
        <w:t xml:space="preserve"> </w:t>
      </w:r>
      <w:r w:rsidR="006F2A66">
        <w:t>(</w:t>
      </w:r>
      <w:proofErr w:type="spellStart"/>
      <w:r w:rsidR="006F2A66">
        <w:t>Valceschini</w:t>
      </w:r>
      <w:proofErr w:type="spellEnd"/>
      <w:r w:rsidR="006F2A66">
        <w:t xml:space="preserve"> et Cornu, 2020)</w:t>
      </w:r>
      <w:r w:rsidR="006C45C7">
        <w:t>.</w:t>
      </w:r>
      <w:r>
        <w:t xml:space="preserve">  Pour la </w:t>
      </w:r>
      <w:r>
        <w:lastRenderedPageBreak/>
        <w:t xml:space="preserve">petite histoire, quand Bernard Vial, après avoir habilement pacifié le département, est entré au cabinet de Michel Rocard, Jean </w:t>
      </w:r>
      <w:proofErr w:type="spellStart"/>
      <w:r>
        <w:t>Cranney</w:t>
      </w:r>
      <w:proofErr w:type="spellEnd"/>
      <w:r>
        <w:t xml:space="preserve"> m’avait proposé à Jacques Poly comme chef de département. Jacques Poly</w:t>
      </w:r>
      <w:r w:rsidR="003255E9">
        <w:t xml:space="preserve">, directeur général de l’Inra, </w:t>
      </w:r>
      <w:r>
        <w:t xml:space="preserve">m’a poussé un peu mais je ne voulais pas plonger dans un bouillon de culture où j’aurais été la cible évidente des intrigues et n’aurais pu rien changer. Je crois que Bernard Vial avait vu juste. Il pensait certainement que, venant du courant marxiste, Jean </w:t>
      </w:r>
      <w:proofErr w:type="spellStart"/>
      <w:r>
        <w:t>Cranney</w:t>
      </w:r>
      <w:proofErr w:type="spellEnd"/>
      <w:r>
        <w:t xml:space="preserve"> était plus à même de réformer l’institution, de la faire évoluer quitte à faire des concessions aux néo-classiques. Je lui ai dit : « Je te ferai des propositions si tu veux. » C’est </w:t>
      </w:r>
      <w:r w:rsidR="006C45C7">
        <w:t xml:space="preserve">ainsi </w:t>
      </w:r>
      <w:r>
        <w:t>que j’ai suggéré d’envoyer Dominique Vermeersch et Hervé Guyomard à l’</w:t>
      </w:r>
      <w:proofErr w:type="spellStart"/>
      <w:r>
        <w:t>Ensae</w:t>
      </w:r>
      <w:proofErr w:type="spellEnd"/>
      <w:r>
        <w:t xml:space="preserve">.  </w:t>
      </w:r>
      <w:r w:rsidR="0059494E">
        <w:t>La</w:t>
      </w:r>
      <w:r>
        <w:t xml:space="preserve"> coopération avec l’</w:t>
      </w:r>
      <w:proofErr w:type="spellStart"/>
      <w:r>
        <w:t>Ensae</w:t>
      </w:r>
      <w:proofErr w:type="spellEnd"/>
      <w:r>
        <w:t xml:space="preserve"> a attiré de bons jeunes économistes au département ESR, c’est important. (</w:t>
      </w:r>
      <w:proofErr w:type="gramStart"/>
      <w:r>
        <w:t>page</w:t>
      </w:r>
      <w:proofErr w:type="gramEnd"/>
      <w:r>
        <w:t xml:space="preserve"> 19)</w:t>
      </w:r>
    </w:p>
    <w:p w14:paraId="609BF1C4" w14:textId="5E214F9E" w:rsidR="00305ABF" w:rsidRPr="0051049E" w:rsidRDefault="00305ABF" w:rsidP="00360FE9">
      <w:pPr>
        <w:jc w:val="both"/>
        <w:rPr>
          <w:b/>
          <w:bCs/>
        </w:rPr>
      </w:pPr>
      <w:r w:rsidRPr="0051049E">
        <w:rPr>
          <w:b/>
          <w:bCs/>
        </w:rPr>
        <w:t xml:space="preserve">Conditions d’une recherche appliquée </w:t>
      </w:r>
      <w:r w:rsidR="00904EC0">
        <w:rPr>
          <w:b/>
          <w:bCs/>
        </w:rPr>
        <w:t>efficace</w:t>
      </w:r>
    </w:p>
    <w:p w14:paraId="4A72C1BE" w14:textId="1369FB63" w:rsidR="00305ABF" w:rsidRDefault="00305ABF" w:rsidP="00360FE9">
      <w:pPr>
        <w:jc w:val="both"/>
      </w:pPr>
      <w:r>
        <w:t>Les bonnes idées viennent souvent d’individus et de</w:t>
      </w:r>
      <w:r w:rsidR="0051049E">
        <w:t xml:space="preserve"> </w:t>
      </w:r>
      <w:r>
        <w:t xml:space="preserve">la base. </w:t>
      </w:r>
      <w:proofErr w:type="gramStart"/>
      <w:r>
        <w:t>Par contre</w:t>
      </w:r>
      <w:proofErr w:type="gramEnd"/>
      <w:r>
        <w:t xml:space="preserve">, je </w:t>
      </w:r>
      <w:r w:rsidR="00CF5C45">
        <w:t xml:space="preserve">notais </w:t>
      </w:r>
      <w:r>
        <w:t>au moins</w:t>
      </w:r>
      <w:r w:rsidR="0051049E">
        <w:t xml:space="preserve"> </w:t>
      </w:r>
      <w:r>
        <w:t>deux conditions propices à une recherche utile et pro</w:t>
      </w:r>
      <w:r w:rsidR="0051049E">
        <w:t>du</w:t>
      </w:r>
      <w:r>
        <w:t xml:space="preserve">ctive dans une organisation de recherche appliquée : </w:t>
      </w:r>
    </w:p>
    <w:p w14:paraId="19F51E55" w14:textId="366991F8" w:rsidR="00305ABF" w:rsidRDefault="00305ABF" w:rsidP="0051049E">
      <w:pPr>
        <w:pStyle w:val="ListParagraph"/>
        <w:numPr>
          <w:ilvl w:val="0"/>
          <w:numId w:val="2"/>
        </w:numPr>
        <w:jc w:val="both"/>
      </w:pPr>
      <w:proofErr w:type="gramStart"/>
      <w:r>
        <w:t>la</w:t>
      </w:r>
      <w:proofErr w:type="gramEnd"/>
      <w:r>
        <w:t xml:space="preserve"> liberté et le respect de la propriété intellectuelle des chercheurs innovants</w:t>
      </w:r>
      <w:r w:rsidR="0051049E">
        <w:t>,</w:t>
      </w:r>
      <w:r w:rsidR="00CF5C45">
        <w:t xml:space="preserve"> condition d’un contexte favorable à la créativité,</w:t>
      </w:r>
    </w:p>
    <w:p w14:paraId="5CD53854" w14:textId="0B119BE2" w:rsidR="0051049E" w:rsidRDefault="0051049E" w:rsidP="0051049E">
      <w:pPr>
        <w:pStyle w:val="ListParagraph"/>
        <w:numPr>
          <w:ilvl w:val="0"/>
          <w:numId w:val="2"/>
        </w:numPr>
        <w:jc w:val="both"/>
      </w:pPr>
      <w:proofErr w:type="gramStart"/>
      <w:r>
        <w:t>u</w:t>
      </w:r>
      <w:r w:rsidR="00305ABF">
        <w:t>n</w:t>
      </w:r>
      <w:proofErr w:type="gramEnd"/>
      <w:r w:rsidR="00305ABF">
        <w:t xml:space="preserve"> environnement favorable à la circulation des idées et à l’</w:t>
      </w:r>
      <w:r>
        <w:t>ouverture</w:t>
      </w:r>
      <w:r w:rsidR="00305ABF">
        <w:t xml:space="preserve"> </w:t>
      </w:r>
      <w:r>
        <w:t>s</w:t>
      </w:r>
      <w:r w:rsidR="00305ABF">
        <w:t>ur l’économie générale</w:t>
      </w:r>
      <w:r>
        <w:t>,</w:t>
      </w:r>
      <w:r w:rsidR="00305ABF">
        <w:t xml:space="preserve"> avec incitation à répondre aux enjeux de société et aux question d’intérêt public. </w:t>
      </w:r>
    </w:p>
    <w:p w14:paraId="45CBF741" w14:textId="09674A80" w:rsidR="00305ABF" w:rsidRDefault="00305ABF" w:rsidP="00360FE9">
      <w:pPr>
        <w:jc w:val="both"/>
      </w:pPr>
      <w:r>
        <w:t xml:space="preserve">Un système créatif </w:t>
      </w:r>
      <w:r w:rsidR="00CF5C45">
        <w:t>nécessite un</w:t>
      </w:r>
      <w:r>
        <w:t xml:space="preserve"> recrutement </w:t>
      </w:r>
      <w:r w:rsidR="0051049E">
        <w:t>sur compétence</w:t>
      </w:r>
      <w:r>
        <w:t xml:space="preserve"> et non sur </w:t>
      </w:r>
      <w:r w:rsidR="0051049E">
        <w:t>allégeance</w:t>
      </w:r>
      <w:r w:rsidR="00CF5C45">
        <w:t>, le respect de</w:t>
      </w:r>
      <w:r>
        <w:t xml:space="preserve"> l’éthique, </w:t>
      </w:r>
      <w:r w:rsidR="00CF5C45">
        <w:t>une</w:t>
      </w:r>
      <w:r>
        <w:t xml:space="preserve"> vie de laboratoire nourrie d</w:t>
      </w:r>
      <w:r w:rsidR="00CF5C45">
        <w:t>’</w:t>
      </w:r>
      <w:r>
        <w:t>échanges extérieurs (y compris internatio</w:t>
      </w:r>
      <w:r w:rsidR="0051049E">
        <w:t>na</w:t>
      </w:r>
      <w:r>
        <w:t xml:space="preserve">ux), </w:t>
      </w:r>
      <w:r w:rsidR="00CF5C45">
        <w:t xml:space="preserve">une </w:t>
      </w:r>
      <w:r>
        <w:t>émulation loyale</w:t>
      </w:r>
      <w:r w:rsidR="00CF5C45">
        <w:t xml:space="preserve"> et </w:t>
      </w:r>
      <w:r>
        <w:t>la liberté du chercheur appli</w:t>
      </w:r>
      <w:r w:rsidR="0051049E">
        <w:t>q</w:t>
      </w:r>
      <w:r>
        <w:t>ué</w:t>
      </w:r>
      <w:r w:rsidR="0051049E">
        <w:t>e</w:t>
      </w:r>
      <w:r>
        <w:t xml:space="preserve">. </w:t>
      </w:r>
      <w:r w:rsidR="00CF5C45">
        <w:t xml:space="preserve">Tout cela </w:t>
      </w:r>
      <w:r>
        <w:t>est d’ailleurs proche des options prises dans les années 1980, tout au moins pour le recrutement.</w:t>
      </w:r>
      <w:r w:rsidR="0051049E">
        <w:t xml:space="preserve"> (</w:t>
      </w:r>
      <w:proofErr w:type="gramStart"/>
      <w:r w:rsidR="0051049E">
        <w:t>page</w:t>
      </w:r>
      <w:proofErr w:type="gramEnd"/>
      <w:r w:rsidR="0051049E">
        <w:t xml:space="preserve"> 27)</w:t>
      </w:r>
    </w:p>
    <w:p w14:paraId="229CA0E6" w14:textId="77777777" w:rsidR="00360FE9" w:rsidRPr="0039368D" w:rsidRDefault="00360FE9" w:rsidP="00360FE9">
      <w:pPr>
        <w:rPr>
          <w:b/>
          <w:bCs/>
        </w:rPr>
      </w:pPr>
      <w:r w:rsidRPr="0039368D">
        <w:rPr>
          <w:b/>
          <w:bCs/>
        </w:rPr>
        <w:t>Relation avec Jacques Poly</w:t>
      </w:r>
    </w:p>
    <w:p w14:paraId="6DD557EA" w14:textId="723B5E15" w:rsidR="00360FE9" w:rsidRDefault="00360FE9" w:rsidP="00360FE9">
      <w:pPr>
        <w:jc w:val="both"/>
      </w:pPr>
      <w:r>
        <w:t>J</w:t>
      </w:r>
      <w:r w:rsidR="00E15210">
        <w:t xml:space="preserve">’ai trouvé le </w:t>
      </w:r>
      <w:r>
        <w:t>rapport de Jacques Poly intéressant et vigoureux</w:t>
      </w:r>
      <w:r w:rsidR="00E15210">
        <w:t xml:space="preserve"> mais j</w:t>
      </w:r>
      <w:r>
        <w:t xml:space="preserve">e n’ai pas eu d’échanges avec lui </w:t>
      </w:r>
      <w:r w:rsidR="00E15210">
        <w:t>au moment de sa publication (1978)</w:t>
      </w:r>
      <w:r>
        <w:t xml:space="preserve">. </w:t>
      </w:r>
      <w:r w:rsidR="00CF5C45">
        <w:t>J</w:t>
      </w:r>
      <w:r>
        <w:t>e n’ai pas osé, ni pensé peut-être, lui faire une note de commentaire</w:t>
      </w:r>
      <w:r w:rsidR="00CF5C45">
        <w:t>. J</w:t>
      </w:r>
      <w:r>
        <w:t xml:space="preserve">e me rappelle avoir pensé que l’approche était riche sur le plan agronomique par la recension des ressources protéiques possibles, mais que le contexte et les instruments de politique économique auraient mérité d’être examinées plus à fond.  </w:t>
      </w:r>
      <w:bookmarkStart w:id="0" w:name="_Hlk171084964"/>
      <w:r>
        <w:t>(</w:t>
      </w:r>
      <w:proofErr w:type="gramStart"/>
      <w:r>
        <w:t>pages</w:t>
      </w:r>
      <w:proofErr w:type="gramEnd"/>
      <w:r>
        <w:t xml:space="preserve"> 26-27)</w:t>
      </w:r>
    </w:p>
    <w:bookmarkEnd w:id="0"/>
    <w:p w14:paraId="313CD388" w14:textId="32ACCEAD" w:rsidR="00305ABF" w:rsidRPr="002F30C6" w:rsidRDefault="00305ABF" w:rsidP="00305ABF">
      <w:pPr>
        <w:jc w:val="both"/>
        <w:rPr>
          <w:b/>
          <w:bCs/>
        </w:rPr>
      </w:pPr>
      <w:r>
        <w:t xml:space="preserve">Le rapport Poly définissait un objectif défendable pour certaines exploitations, à condition que les conditions naturelles et structurelles de rentabilité soient assurées. L’histoire a montré qu’en production laitière, le recours important à l’herbe, entre autres, pouvait apporter un revenu régulier et décent, sans nécessairement exiger une révolution technique, surtout pour ceux qui pariaient sur la valorisation plutôt que </w:t>
      </w:r>
      <w:r w:rsidR="00CF5C45">
        <w:t xml:space="preserve">sur </w:t>
      </w:r>
      <w:r>
        <w:t>les volumes, en recourant aux circuits courts par exemple. (</w:t>
      </w:r>
      <w:proofErr w:type="gramStart"/>
      <w:r>
        <w:t>page</w:t>
      </w:r>
      <w:proofErr w:type="gramEnd"/>
      <w:r>
        <w:t xml:space="preserve"> 27)</w:t>
      </w:r>
    </w:p>
    <w:p w14:paraId="2C45500A" w14:textId="77777777" w:rsidR="003255E9" w:rsidRDefault="003255E9" w:rsidP="00671DA6">
      <w:pPr>
        <w:jc w:val="both"/>
        <w:rPr>
          <w:b/>
          <w:bCs/>
        </w:rPr>
      </w:pPr>
    </w:p>
    <w:p w14:paraId="7D2C62A1" w14:textId="73FF82AE" w:rsidR="00900DFB" w:rsidRPr="00900DFB" w:rsidRDefault="00900DFB" w:rsidP="00671DA6">
      <w:pPr>
        <w:jc w:val="both"/>
        <w:rPr>
          <w:b/>
          <w:bCs/>
        </w:rPr>
      </w:pPr>
      <w:r w:rsidRPr="00900DFB">
        <w:rPr>
          <w:b/>
          <w:bCs/>
        </w:rPr>
        <w:t>Economie de marché et économétrie</w:t>
      </w:r>
    </w:p>
    <w:p w14:paraId="06A595BE" w14:textId="28E73B2C" w:rsidR="00E21E19" w:rsidRDefault="00E21E19" w:rsidP="00671DA6">
      <w:pPr>
        <w:jc w:val="both"/>
      </w:pPr>
      <w:r>
        <w:t>Je ne crois pas que l’usage des mathématiques et des statistiques soit indispensable à la production de connaissances importantes. Des id</w:t>
      </w:r>
      <w:r w:rsidR="00CA440E">
        <w:t>é</w:t>
      </w:r>
      <w:r>
        <w:t>es séminales ont été formulées de manière narrative</w:t>
      </w:r>
      <w:r w:rsidR="00E15210">
        <w:t xml:space="preserve"> mais</w:t>
      </w:r>
      <w:r>
        <w:t xml:space="preserve"> je pense que la formalisation est un atout pour atteindre plus de rigueur et de clarté.  Je crois aussi qu’en économie, les mathématiques sont d’une grande aide pour l’enseignement, à condition d’adopter le principe de parcimonie. </w:t>
      </w:r>
      <w:r w:rsidR="00CF5C45">
        <w:t>I</w:t>
      </w:r>
      <w:r>
        <w:t>l faut les compléter par l’examen des faits, des institutions, et par l’histoire. (</w:t>
      </w:r>
      <w:proofErr w:type="gramStart"/>
      <w:r>
        <w:t>page</w:t>
      </w:r>
      <w:proofErr w:type="gramEnd"/>
      <w:r>
        <w:t xml:space="preserve"> 41)</w:t>
      </w:r>
    </w:p>
    <w:p w14:paraId="4CA4A7F8" w14:textId="06956A84" w:rsidR="00E21E19" w:rsidRDefault="00E21E19" w:rsidP="00671DA6">
      <w:pPr>
        <w:jc w:val="both"/>
      </w:pPr>
      <w:r>
        <w:t xml:space="preserve">Le courant dominant d’économie agricole en Europe, anglophone pour l’essentiel, n’est pas exempt d’un penchant prononcé pour une confiance sans nuance dans les mécanismes de marché, qui relève souvent plus de l’idéologie que de la science. Le monde francophone n’a pas réussi à produire une revue de langue française de renommée internationale.  Mais la contribution des économistes ruraux français a connu </w:t>
      </w:r>
      <w:r w:rsidR="00E70234">
        <w:t>un progrès accéléré</w:t>
      </w:r>
      <w:r>
        <w:t xml:space="preserve"> après les orientations prises à l’Inra dans les années 1980.</w:t>
      </w:r>
      <w:r w:rsidR="006C45C7">
        <w:t xml:space="preserve"> (</w:t>
      </w:r>
      <w:proofErr w:type="gramStart"/>
      <w:r w:rsidR="006C45C7">
        <w:t>page</w:t>
      </w:r>
      <w:proofErr w:type="gramEnd"/>
      <w:r w:rsidR="006C45C7">
        <w:t xml:space="preserve"> 41)</w:t>
      </w:r>
    </w:p>
    <w:p w14:paraId="057E1C1F" w14:textId="4425A266" w:rsidR="00E21E19" w:rsidRDefault="00E21E19" w:rsidP="00671DA6">
      <w:pPr>
        <w:jc w:val="both"/>
      </w:pPr>
      <w:r>
        <w:t xml:space="preserve">La régulation de l’économie est indispensable au vu des nombreuses défaillances du marché, maintenant mieux comprises et identifiées.  </w:t>
      </w:r>
      <w:r w:rsidR="008C213E">
        <w:t xml:space="preserve">La question n’est pas « faut-il réguler » mais </w:t>
      </w:r>
      <w:r>
        <w:t xml:space="preserve">comment </w:t>
      </w:r>
      <w:r w:rsidR="003722A1">
        <w:t>réguler</w:t>
      </w:r>
      <w:r>
        <w:t>, et le problème est immense. Un autre mythe français est que l’Etat peut dépenser sans compter</w:t>
      </w:r>
      <w:r w:rsidR="006C45C7">
        <w:t xml:space="preserve"> et qu’</w:t>
      </w:r>
      <w:r>
        <w:t xml:space="preserve">il n’y aurait aucun coût collectif lié à la dépense publique. </w:t>
      </w:r>
      <w:r w:rsidR="00677BFB">
        <w:t>(</w:t>
      </w:r>
      <w:proofErr w:type="gramStart"/>
      <w:r w:rsidR="00677BFB">
        <w:t>page</w:t>
      </w:r>
      <w:proofErr w:type="gramEnd"/>
      <w:r w:rsidR="00677BFB">
        <w:t xml:space="preserve"> 41)</w:t>
      </w:r>
    </w:p>
    <w:p w14:paraId="11A24C7C" w14:textId="24177367" w:rsidR="00A4039F" w:rsidRPr="00E70234" w:rsidRDefault="00E70234">
      <w:pPr>
        <w:rPr>
          <w:b/>
          <w:bCs/>
        </w:rPr>
      </w:pPr>
      <w:r w:rsidRPr="00E70234">
        <w:rPr>
          <w:b/>
          <w:bCs/>
        </w:rPr>
        <w:t>L’Ecole nationale supérieure d’agronomie de Rennes (</w:t>
      </w:r>
      <w:proofErr w:type="spellStart"/>
      <w:r w:rsidRPr="00E70234">
        <w:rPr>
          <w:b/>
          <w:bCs/>
        </w:rPr>
        <w:t>Ensar</w:t>
      </w:r>
      <w:proofErr w:type="spellEnd"/>
      <w:r w:rsidRPr="00E70234">
        <w:rPr>
          <w:b/>
          <w:bCs/>
        </w:rPr>
        <w:t>)</w:t>
      </w:r>
    </w:p>
    <w:p w14:paraId="752DBDB9" w14:textId="5FF4920E" w:rsidR="00CA2061" w:rsidRDefault="00C744B8" w:rsidP="00E70234">
      <w:pPr>
        <w:jc w:val="both"/>
      </w:pPr>
      <w:r>
        <w:t>L</w:t>
      </w:r>
      <w:r w:rsidR="00CA2061">
        <w:t>’enseignement de l’économie à l’</w:t>
      </w:r>
      <w:proofErr w:type="spellStart"/>
      <w:r w:rsidR="00CA2061">
        <w:t>Ensar</w:t>
      </w:r>
      <w:proofErr w:type="spellEnd"/>
      <w:r w:rsidR="00CA2061">
        <w:t xml:space="preserve"> avait grand besoin d’être amélioré et enrichi. L’évolution rapide de la discipline économie à l’université, mon expérience américaine et les contacts fréquents avec nos collègues européens me persuadaient qu’il était temps que cela bouge et que l’économie rurale sorte de son champ clos.</w:t>
      </w:r>
      <w:r w:rsidR="006C45C7">
        <w:t xml:space="preserve"> (</w:t>
      </w:r>
      <w:proofErr w:type="gramStart"/>
      <w:r w:rsidR="006C45C7">
        <w:t>page</w:t>
      </w:r>
      <w:proofErr w:type="gramEnd"/>
      <w:r w:rsidR="006C45C7">
        <w:t xml:space="preserve"> 28)</w:t>
      </w:r>
      <w:r w:rsidR="00CA2061">
        <w:t xml:space="preserve"> </w:t>
      </w:r>
    </w:p>
    <w:p w14:paraId="61908B24" w14:textId="01C1CBF7" w:rsidR="00CA440E" w:rsidRDefault="00CA2061" w:rsidP="008C52E2">
      <w:pPr>
        <w:jc w:val="both"/>
      </w:pPr>
      <w:r>
        <w:t xml:space="preserve">En 1989, Gabriel Brown devait partir en retraite. Régis </w:t>
      </w:r>
      <w:proofErr w:type="spellStart"/>
      <w:r>
        <w:t>Hovelaque</w:t>
      </w:r>
      <w:proofErr w:type="spellEnd"/>
      <w:r>
        <w:t xml:space="preserve">, le plus ancien de la chaire et </w:t>
      </w:r>
      <w:r w:rsidR="008C52E2">
        <w:t>surement</w:t>
      </w:r>
      <w:r>
        <w:t xml:space="preserve"> le plus légitime, a fait savoir qu’il ne la voulait pas. Evidemment, </w:t>
      </w:r>
      <w:r w:rsidR="008C52E2">
        <w:t>selon</w:t>
      </w:r>
      <w:r>
        <w:t xml:space="preserve"> nos bonnes traditions françaises, il n’était pas question de </w:t>
      </w:r>
      <w:r w:rsidR="008C52E2">
        <w:t>faire une</w:t>
      </w:r>
      <w:r>
        <w:t xml:space="preserve"> prospection large, surtout pas internationale, pour identifier un </w:t>
      </w:r>
      <w:r w:rsidR="008C52E2">
        <w:t>candidat</w:t>
      </w:r>
      <w:r>
        <w:t xml:space="preserve"> aussi bon que </w:t>
      </w:r>
      <w:r w:rsidR="008C52E2">
        <w:t>possible</w:t>
      </w:r>
      <w:r>
        <w:t>. On s’orientait vers un candidat maison</w:t>
      </w:r>
      <w:r w:rsidR="00FB7353">
        <w:t>.</w:t>
      </w:r>
      <w:r>
        <w:t> </w:t>
      </w:r>
      <w:r w:rsidR="00FB7353">
        <w:t>L</w:t>
      </w:r>
      <w:r>
        <w:t>’Inra</w:t>
      </w:r>
      <w:r w:rsidR="00FB7353" w:rsidRPr="00FB7353">
        <w:t xml:space="preserve"> </w:t>
      </w:r>
      <w:r w:rsidR="00FB7353">
        <w:t>intervint dans le processus de recrutement</w:t>
      </w:r>
      <w:r>
        <w:t xml:space="preserve">, </w:t>
      </w:r>
      <w:r w:rsidR="008C52E2">
        <w:t>par</w:t>
      </w:r>
      <w:r>
        <w:t xml:space="preserve"> Jean </w:t>
      </w:r>
      <w:proofErr w:type="spellStart"/>
      <w:r>
        <w:t>Cranney</w:t>
      </w:r>
      <w:proofErr w:type="spellEnd"/>
      <w:r>
        <w:t xml:space="preserve">, </w:t>
      </w:r>
      <w:r w:rsidR="00FB7353">
        <w:t xml:space="preserve">en </w:t>
      </w:r>
      <w:r w:rsidR="008C52E2">
        <w:t>concertation</w:t>
      </w:r>
      <w:r>
        <w:t xml:space="preserve"> avec le directeur de l’</w:t>
      </w:r>
      <w:proofErr w:type="spellStart"/>
      <w:r>
        <w:t>Ensar</w:t>
      </w:r>
      <w:proofErr w:type="spellEnd"/>
      <w:r w:rsidR="008C52E2">
        <w:t>,</w:t>
      </w:r>
      <w:r>
        <w:t xml:space="preserve"> Pierre </w:t>
      </w:r>
      <w:proofErr w:type="spellStart"/>
      <w:r>
        <w:t>Thivend</w:t>
      </w:r>
      <w:proofErr w:type="spellEnd"/>
      <w:r>
        <w:t xml:space="preserve">, </w:t>
      </w:r>
      <w:r w:rsidR="00012134">
        <w:t xml:space="preserve">lui </w:t>
      </w:r>
      <w:r>
        <w:t>aussi un pilier de</w:t>
      </w:r>
      <w:r w:rsidR="008C52E2">
        <w:t xml:space="preserve"> </w:t>
      </w:r>
      <w:r>
        <w:t xml:space="preserve">l’Inra, venu de Theix </w:t>
      </w:r>
      <w:r w:rsidR="00CF5C45">
        <w:t xml:space="preserve">(Clermont-Ferrand) </w:t>
      </w:r>
      <w:r>
        <w:t>et qui souhaitait ma candidature.</w:t>
      </w:r>
      <w:r w:rsidR="006C45C7">
        <w:t xml:space="preserve"> (</w:t>
      </w:r>
      <w:proofErr w:type="gramStart"/>
      <w:r w:rsidR="006C45C7">
        <w:t>page</w:t>
      </w:r>
      <w:proofErr w:type="gramEnd"/>
      <w:r w:rsidR="006C45C7">
        <w:t xml:space="preserve"> 28)</w:t>
      </w:r>
      <w:r>
        <w:t xml:space="preserve"> </w:t>
      </w:r>
      <w:r w:rsidR="008C52E2">
        <w:t xml:space="preserve"> </w:t>
      </w:r>
    </w:p>
    <w:p w14:paraId="1B5EB345" w14:textId="2F600AAA" w:rsidR="00CA2061" w:rsidRDefault="008C52E2" w:rsidP="008C52E2">
      <w:pPr>
        <w:jc w:val="both"/>
      </w:pPr>
      <w:r>
        <w:t>Est-il sain que l’Inra se mêle à ce point des recrutements de professeurs relevant de la D</w:t>
      </w:r>
      <w:r w:rsidR="00CF5C45">
        <w:t>irection générale de l’enseignement et de la recherche (D</w:t>
      </w:r>
      <w:r>
        <w:t>GER</w:t>
      </w:r>
      <w:r w:rsidR="00CF5C45">
        <w:t xml:space="preserve">) du </w:t>
      </w:r>
      <w:proofErr w:type="gramStart"/>
      <w:r w:rsidR="00CF5C45">
        <w:t>Ministère de l’agriculture</w:t>
      </w:r>
      <w:proofErr w:type="gramEnd"/>
      <w:r>
        <w:t xml:space="preserve"> ? Si </w:t>
      </w:r>
      <w:r w:rsidR="003255E9">
        <w:t>la D</w:t>
      </w:r>
      <w:r>
        <w:t>GER avait conduit une véritable politique d’ouverture et évité la consanguinité dans les recrutements, la tension au moment des successions de chaires aurait été moindre.</w:t>
      </w:r>
      <w:r w:rsidR="006C45C7">
        <w:t xml:space="preserve"> </w:t>
      </w:r>
      <w:r>
        <w:t xml:space="preserve">La suppression des chaires à vie, leur remplacement par des </w:t>
      </w:r>
      <w:r>
        <w:lastRenderedPageBreak/>
        <w:t xml:space="preserve">départements dont les « chef-présidents » sont élus, la séparation des promotions de grade et des fonctions, la rotation de la fonction de président, ont apporté de grands progrès et nous ont rapprochés des standards internationaux. J’ai appliqué d’emblée la rotation après un </w:t>
      </w:r>
      <w:r w:rsidR="00E70234">
        <w:t>septennat</w:t>
      </w:r>
      <w:r>
        <w:t xml:space="preserve">. J’étais donc ravi en 1997 de passer le témoin à Pierre </w:t>
      </w:r>
      <w:proofErr w:type="spellStart"/>
      <w:r>
        <w:t>Daucé</w:t>
      </w:r>
      <w:proofErr w:type="spellEnd"/>
      <w:r>
        <w:t xml:space="preserve"> que j’avais pressenti à son retour de Dijon. (</w:t>
      </w:r>
      <w:proofErr w:type="gramStart"/>
      <w:r>
        <w:t>page</w:t>
      </w:r>
      <w:proofErr w:type="gramEnd"/>
      <w:r>
        <w:t xml:space="preserve"> 28)</w:t>
      </w:r>
    </w:p>
    <w:p w14:paraId="4D61939A" w14:textId="4C78E9B1" w:rsidR="003244D2" w:rsidRDefault="002417D3" w:rsidP="008C52E2">
      <w:pPr>
        <w:jc w:val="both"/>
      </w:pPr>
      <w:r>
        <w:t xml:space="preserve">Toute la superstructure entourant l’agriculture (organisations professionnelles, organismes consulaires, organismes parapublics, collectivités territoriales, enseignement et recherche, cabinets d’audit, la presse, sans oublier les organisations non gouvernementales) avait besoin d’agroéconomistes bien formés ; de même les grandes entreprises du secteur des industries agro-alimentaires et de l’agrofourniture, ou encore les coopératives, avaient besoin d’agro-managers. D’ailleurs, l’IGIA </w:t>
      </w:r>
      <w:r w:rsidR="00875697">
        <w:t xml:space="preserve">(Institut International de Gestion des Industries Agroalimentaires) </w:t>
      </w:r>
      <w:r>
        <w:t>à Paris, à qui j’irais plus tard « voler » Jean Cord</w:t>
      </w:r>
      <w:r w:rsidR="00CF5C45">
        <w:t>i</w:t>
      </w:r>
      <w:r>
        <w:t xml:space="preserve">er (ingénieur agronome, PhD université d’Illinois), avait pris l’initiative de couvrir en partie ce créneau. L’Ina-PG </w:t>
      </w:r>
      <w:r w:rsidR="00CF5C45">
        <w:t xml:space="preserve">(aujourd’hui AgroParisTech) </w:t>
      </w:r>
      <w:r>
        <w:t xml:space="preserve">avait déjà créé une équipe autour de Jacques </w:t>
      </w:r>
      <w:proofErr w:type="spellStart"/>
      <w:r>
        <w:t>Nefussi</w:t>
      </w:r>
      <w:proofErr w:type="spellEnd"/>
      <w:r>
        <w:t xml:space="preserve">. </w:t>
      </w:r>
      <w:r w:rsidR="006C45C7">
        <w:t>(</w:t>
      </w:r>
      <w:proofErr w:type="gramStart"/>
      <w:r w:rsidR="006C45C7">
        <w:t>page</w:t>
      </w:r>
      <w:proofErr w:type="gramEnd"/>
      <w:r w:rsidR="006C45C7">
        <w:t xml:space="preserve"> 30)</w:t>
      </w:r>
    </w:p>
    <w:p w14:paraId="108D4C4A" w14:textId="005E12E9" w:rsidR="002417D3" w:rsidRDefault="003244D2" w:rsidP="008C52E2">
      <w:pPr>
        <w:jc w:val="both"/>
      </w:pPr>
      <w:r>
        <w:t xml:space="preserve">Je souhaitais </w:t>
      </w:r>
      <w:r w:rsidR="002417D3">
        <w:t>construire à l’</w:t>
      </w:r>
      <w:proofErr w:type="spellStart"/>
      <w:r w:rsidR="002417D3">
        <w:t>Ensar</w:t>
      </w:r>
      <w:proofErr w:type="spellEnd"/>
      <w:r w:rsidR="002417D3">
        <w:t xml:space="preserve"> un pôle de qualité de niveau international, avec un programme d’enseignement comparable à ceux qui existaient dans les bonnes université</w:t>
      </w:r>
      <w:r w:rsidR="0001762A">
        <w:t>s</w:t>
      </w:r>
      <w:r w:rsidR="002417D3">
        <w:t xml:space="preserve"> agronomiques européennes e</w:t>
      </w:r>
      <w:r w:rsidR="0001762A">
        <w:t>t</w:t>
      </w:r>
      <w:r w:rsidR="002417D3">
        <w:t xml:space="preserve"> américaines. Des emplois nouveau</w:t>
      </w:r>
      <w:r w:rsidR="0001762A">
        <w:t>x</w:t>
      </w:r>
      <w:r w:rsidR="002417D3">
        <w:t xml:space="preserve"> pour les agronomes émergeaient, liés</w:t>
      </w:r>
      <w:r w:rsidR="0001762A">
        <w:t xml:space="preserve"> </w:t>
      </w:r>
      <w:r w:rsidR="002417D3">
        <w:t xml:space="preserve">en particulier à l’internationalisation de l’agriculture européenne, à l’affirmation du secteur agroalimentaire, et à la prise de conscience en France de la dégradation de l’environnement et des ressources </w:t>
      </w:r>
      <w:r w:rsidR="0001762A">
        <w:t>naturelles</w:t>
      </w:r>
      <w:r w:rsidR="002417D3">
        <w:t xml:space="preserve">. Le développement rural reprenait de l’importance dans le débat public à cause des phénomènes de déprise et de </w:t>
      </w:r>
      <w:r w:rsidR="0001762A">
        <w:t>destruction</w:t>
      </w:r>
      <w:r w:rsidR="002417D3">
        <w:t xml:space="preserve"> du </w:t>
      </w:r>
      <w:r w:rsidR="0001762A">
        <w:t>tissu</w:t>
      </w:r>
      <w:r w:rsidR="002417D3">
        <w:t xml:space="preserve"> </w:t>
      </w:r>
      <w:r w:rsidR="0001762A">
        <w:t>rural</w:t>
      </w:r>
      <w:r w:rsidR="002417D3">
        <w:t>, aggravés par les ajustements en cours.</w:t>
      </w:r>
      <w:r w:rsidR="006C45C7">
        <w:t xml:space="preserve"> (</w:t>
      </w:r>
      <w:proofErr w:type="gramStart"/>
      <w:r w:rsidR="006C45C7">
        <w:t>page</w:t>
      </w:r>
      <w:proofErr w:type="gramEnd"/>
      <w:r w:rsidR="006C45C7">
        <w:t xml:space="preserve"> 30)</w:t>
      </w:r>
    </w:p>
    <w:p w14:paraId="41C8B4DF" w14:textId="3EA866A8" w:rsidR="0001762A" w:rsidRDefault="0001762A" w:rsidP="008C52E2">
      <w:pPr>
        <w:jc w:val="both"/>
      </w:pPr>
      <w:r>
        <w:t xml:space="preserve">En plus des chercheurs Inra, je faisais appel à des universitaires rennais (macro-économie, GRH, droit européen, droit rural) et à des collègues anglophones. Cette ouverture internationale nous a permis de constituer précocement un réseau Erasmus, coordonné par </w:t>
      </w:r>
      <w:proofErr w:type="spellStart"/>
      <w:r>
        <w:t>Secondo</w:t>
      </w:r>
      <w:proofErr w:type="spellEnd"/>
      <w:r>
        <w:t xml:space="preserve"> </w:t>
      </w:r>
      <w:proofErr w:type="spellStart"/>
      <w:r>
        <w:t>Tarditi</w:t>
      </w:r>
      <w:proofErr w:type="spellEnd"/>
      <w:r>
        <w:t xml:space="preserve"> de Sienne, ave</w:t>
      </w:r>
      <w:r w:rsidR="00C7216A">
        <w:t>c</w:t>
      </w:r>
      <w:r>
        <w:t xml:space="preserve"> des départements bien </w:t>
      </w:r>
      <w:proofErr w:type="spellStart"/>
      <w:r>
        <w:t>cotés</w:t>
      </w:r>
      <w:proofErr w:type="spellEnd"/>
      <w:r>
        <w:t xml:space="preserve"> d’universités européennes (Kiel, Wageningen, Reading et Sien</w:t>
      </w:r>
      <w:r w:rsidR="003F6D27">
        <w:t>ne</w:t>
      </w:r>
      <w:r>
        <w:t>). Depuis 1994, ce réseau a établi une collaboration plus intégrée délivrant un label, le « </w:t>
      </w:r>
      <w:proofErr w:type="spellStart"/>
      <w:r w:rsidRPr="0001762A">
        <w:rPr>
          <w:i/>
          <w:iCs/>
        </w:rPr>
        <w:t>certificate</w:t>
      </w:r>
      <w:proofErr w:type="spellEnd"/>
      <w:r w:rsidRPr="0001762A">
        <w:rPr>
          <w:i/>
          <w:iCs/>
        </w:rPr>
        <w:t xml:space="preserve"> of master in agricultural </w:t>
      </w:r>
      <w:proofErr w:type="spellStart"/>
      <w:r w:rsidRPr="0001762A">
        <w:rPr>
          <w:i/>
          <w:iCs/>
        </w:rPr>
        <w:t>economics</w:t>
      </w:r>
      <w:proofErr w:type="spellEnd"/>
      <w:r w:rsidRPr="0001762A">
        <w:rPr>
          <w:i/>
          <w:iCs/>
        </w:rPr>
        <w:t xml:space="preserve"> and agribusiness </w:t>
      </w:r>
      <w:r>
        <w:t xml:space="preserve">». </w:t>
      </w:r>
      <w:r w:rsidR="006C45C7">
        <w:t>(</w:t>
      </w:r>
      <w:proofErr w:type="gramStart"/>
      <w:r w:rsidR="006C45C7">
        <w:t>page</w:t>
      </w:r>
      <w:proofErr w:type="gramEnd"/>
      <w:r w:rsidR="006C45C7">
        <w:t xml:space="preserve"> 30)</w:t>
      </w:r>
    </w:p>
    <w:p w14:paraId="33A44271" w14:textId="09378CC1" w:rsidR="0001762A" w:rsidRDefault="0001762A" w:rsidP="008C52E2">
      <w:pPr>
        <w:jc w:val="both"/>
      </w:pPr>
      <w:r>
        <w:t xml:space="preserve">Quelques anciens élèves ont été recrutés à l’Inra, au </w:t>
      </w:r>
      <w:proofErr w:type="spellStart"/>
      <w:r>
        <w:t>Cirad</w:t>
      </w:r>
      <w:proofErr w:type="spellEnd"/>
      <w:r>
        <w:t>, au CNRS et dans l’</w:t>
      </w:r>
      <w:r w:rsidR="00695310">
        <w:t>enseignement</w:t>
      </w:r>
      <w:r>
        <w:t xml:space="preserve"> supérieur. D’</w:t>
      </w:r>
      <w:r w:rsidR="00695310">
        <w:t>a</w:t>
      </w:r>
      <w:r>
        <w:t xml:space="preserve">utres ont trouvé un poste à la Commission européenne, à l’OCDE, la FAO, la Banque mondiale et plus récemment ont </w:t>
      </w:r>
      <w:r w:rsidR="00C7216A">
        <w:t>é</w:t>
      </w:r>
      <w:r>
        <w:t>té admis à l’</w:t>
      </w:r>
      <w:proofErr w:type="spellStart"/>
      <w:r>
        <w:t>Engref</w:t>
      </w:r>
      <w:proofErr w:type="spellEnd"/>
      <w:r w:rsidR="00C7216A">
        <w:t xml:space="preserve"> (Ecole nationale du génie rural et des forêts)</w:t>
      </w:r>
      <w:r>
        <w:t xml:space="preserve">. Xavier </w:t>
      </w:r>
      <w:proofErr w:type="spellStart"/>
      <w:r>
        <w:t>Irz</w:t>
      </w:r>
      <w:proofErr w:type="spellEnd"/>
      <w:r>
        <w:t xml:space="preserve"> est allé au Minnesota et est maintenant professeur en Finlande. (</w:t>
      </w:r>
      <w:proofErr w:type="gramStart"/>
      <w:r>
        <w:t>page</w:t>
      </w:r>
      <w:proofErr w:type="gramEnd"/>
      <w:r>
        <w:t xml:space="preserve"> 30).</w:t>
      </w:r>
    </w:p>
    <w:p w14:paraId="0EF91B59" w14:textId="4A47AF92" w:rsidR="00317E86" w:rsidRDefault="00317E86" w:rsidP="008C52E2">
      <w:pPr>
        <w:jc w:val="both"/>
      </w:pPr>
      <w:r>
        <w:t>A l’</w:t>
      </w:r>
      <w:proofErr w:type="spellStart"/>
      <w:r>
        <w:t>Ensar</w:t>
      </w:r>
      <w:proofErr w:type="spellEnd"/>
      <w:r>
        <w:t>, ma première tâche fut d’infléchir les cours de tronc commun et d’introduire de nouvelles unités de valeur et d’enrichir le programme de 3</w:t>
      </w:r>
      <w:r w:rsidR="0059494E">
        <w:t>è</w:t>
      </w:r>
      <w:r>
        <w:t xml:space="preserve"> année en enseignements appliqués reposant sur des bases théoriques aussi solides que possible dans la </w:t>
      </w:r>
      <w:r>
        <w:lastRenderedPageBreak/>
        <w:t xml:space="preserve">contrainte de temps. L’enseignement de première année est une initiation à l’analyse économique, à la gestion et à quelques connaissances concrètes des problèmes du secteur agricole. J’ai maintenu l’essentiel des cours en place, sur la gestion en particulier.  J’y ai introduit un bref cours sur les prix et les marchés. Une introduction sur l’histoire de la PAC aurait mérité plus de place. En seconde année j’ai introduit des cours sur l’économie internationale, l’environnement et les marchés. Leur objectif était double, une ouverture sur des thèmes nouveaux pour des agronomes et une préparation à la troisième année. La spécialisation en troisième année était organisée en un tronc commun, consacré aux techniques de traitement de l’information, et de deux options. L’une visait le métier d’ingénieur </w:t>
      </w:r>
      <w:proofErr w:type="spellStart"/>
      <w:r>
        <w:t>agro-économiste</w:t>
      </w:r>
      <w:proofErr w:type="spellEnd"/>
      <w:r>
        <w:t>, c’est la mention « Politiques économiques de l’agriculture et de l’espace ». L’</w:t>
      </w:r>
      <w:r w:rsidR="00EE5396">
        <w:t>autre</w:t>
      </w:r>
      <w:r>
        <w:t xml:space="preserve"> mention visait le métier d’ingénieur-manager, « Gestion et économie des entreprises ». (</w:t>
      </w:r>
      <w:proofErr w:type="gramStart"/>
      <w:r>
        <w:t>page</w:t>
      </w:r>
      <w:proofErr w:type="gramEnd"/>
      <w:r>
        <w:t xml:space="preserve"> 30) </w:t>
      </w:r>
    </w:p>
    <w:p w14:paraId="14090BF4" w14:textId="3850FB44" w:rsidR="00CA440E" w:rsidRPr="00CA440E" w:rsidRDefault="00C7216A" w:rsidP="008C52E2">
      <w:pPr>
        <w:jc w:val="both"/>
        <w:rPr>
          <w:b/>
          <w:bCs/>
        </w:rPr>
      </w:pPr>
      <w:r>
        <w:rPr>
          <w:b/>
          <w:bCs/>
        </w:rPr>
        <w:t>S</w:t>
      </w:r>
      <w:r w:rsidR="00CA440E" w:rsidRPr="00CA440E">
        <w:rPr>
          <w:b/>
          <w:bCs/>
        </w:rPr>
        <w:t xml:space="preserve">éparation pénalisante </w:t>
      </w:r>
      <w:r w:rsidR="00CA440E">
        <w:rPr>
          <w:b/>
          <w:bCs/>
        </w:rPr>
        <w:t>d</w:t>
      </w:r>
      <w:r w:rsidR="00CA440E" w:rsidRPr="00CA440E">
        <w:rPr>
          <w:b/>
          <w:bCs/>
        </w:rPr>
        <w:t>e</w:t>
      </w:r>
      <w:r>
        <w:rPr>
          <w:b/>
          <w:bCs/>
        </w:rPr>
        <w:t xml:space="preserve"> l’enseignement supérieur </w:t>
      </w:r>
      <w:r w:rsidR="00CA440E" w:rsidRPr="00CA440E">
        <w:rPr>
          <w:b/>
          <w:bCs/>
        </w:rPr>
        <w:t xml:space="preserve">et </w:t>
      </w:r>
      <w:r w:rsidR="00CA440E">
        <w:rPr>
          <w:b/>
          <w:bCs/>
        </w:rPr>
        <w:t xml:space="preserve">de </w:t>
      </w:r>
      <w:r w:rsidR="00CA440E" w:rsidRPr="00CA440E">
        <w:rPr>
          <w:b/>
          <w:bCs/>
        </w:rPr>
        <w:t>la recherche</w:t>
      </w:r>
    </w:p>
    <w:p w14:paraId="0C0C2B34" w14:textId="34B1C353" w:rsidR="008C52E2" w:rsidRDefault="008C52E2" w:rsidP="008C52E2">
      <w:pPr>
        <w:jc w:val="both"/>
      </w:pPr>
      <w:r>
        <w:t>Je pense que</w:t>
      </w:r>
      <w:r w:rsidR="00E70234">
        <w:t xml:space="preserve"> </w:t>
      </w:r>
      <w:r>
        <w:t xml:space="preserve">les écoles d’agronomie et les instituts de recherche, dont l’Inra, actuellement séparés, </w:t>
      </w:r>
      <w:r w:rsidR="00E70234">
        <w:t>devraient</w:t>
      </w:r>
      <w:r>
        <w:t xml:space="preserve"> </w:t>
      </w:r>
      <w:r w:rsidR="00E70234">
        <w:t>ê</w:t>
      </w:r>
      <w:r>
        <w:t xml:space="preserve">tre réunis en de grandes universités-écoles agronomiques dans les principaux sites existant en France. Les </w:t>
      </w:r>
      <w:r w:rsidR="00E70234">
        <w:t>chercheurs</w:t>
      </w:r>
      <w:r>
        <w:t xml:space="preserve"> et les enseignants devraient être dans un corps unique avec les mêmes obligations en matière de recherche et d’enseigneme</w:t>
      </w:r>
      <w:r w:rsidR="00E70234">
        <w:t>nt</w:t>
      </w:r>
      <w:r>
        <w:t>.</w:t>
      </w:r>
      <w:r w:rsidR="00E70234">
        <w:t xml:space="preserve"> L’organisation des grandes écoles d’agronomie de l’époque ne me paraissait pas propre à une gouvernance efficace. La présidence du Conseil général de l’école confiée à un président du principal syndicat agricole n’est pas une bonne chose.</w:t>
      </w:r>
      <w:r>
        <w:t xml:space="preserve"> </w:t>
      </w:r>
      <w:r w:rsidR="00E70234">
        <w:t>Où sera la liberté de publication et de parole universitaire si des sujets sensibles comme l’impact de l’industrialisation de l’agriculture sur les pollutions agricoles ou comme les effets des pesticides sur la santé sont en cause ? Même avec notre statut protecteur, j’en ai fait l’expérience en Bretagne concernant un rapport sur la résorption des excès d’azote.</w:t>
      </w:r>
      <w:r w:rsidR="00593A3F">
        <w:t xml:space="preserve"> </w:t>
      </w:r>
      <w:r w:rsidR="00E70234">
        <w:t>Je crois que des grandes université-écoles agronomiques régionales auraient évité les constructions compliquées d’association puis d’intégration nationale auxquelles on a assisté ces dernières années, qui relèvent plus du réflexe bien français de centralisation et de logique administrative, que de montage intellectuel. (</w:t>
      </w:r>
      <w:proofErr w:type="gramStart"/>
      <w:r w:rsidR="00E70234">
        <w:t>page</w:t>
      </w:r>
      <w:proofErr w:type="gramEnd"/>
      <w:r w:rsidR="00E70234">
        <w:t xml:space="preserve"> 29)</w:t>
      </w:r>
    </w:p>
    <w:p w14:paraId="0642C799" w14:textId="576A605F" w:rsidR="00F0146A" w:rsidRPr="00F0146A" w:rsidRDefault="00F0146A" w:rsidP="008C52E2">
      <w:pPr>
        <w:jc w:val="both"/>
        <w:rPr>
          <w:b/>
          <w:bCs/>
        </w:rPr>
      </w:pPr>
      <w:r w:rsidRPr="00F0146A">
        <w:rPr>
          <w:b/>
          <w:bCs/>
        </w:rPr>
        <w:t>La communication, obsession maladive</w:t>
      </w:r>
    </w:p>
    <w:p w14:paraId="43A6575C" w14:textId="39B7CF5E" w:rsidR="00F0146A" w:rsidRDefault="00F0146A" w:rsidP="008C52E2">
      <w:pPr>
        <w:jc w:val="both"/>
      </w:pPr>
      <w:r>
        <w:t xml:space="preserve">L’importance donnée à la communication est devenue une obsession maladive des fonctionnaires d’autorité. Pourquoi mettre le faire savoir avant le savoir-faire ?  J’ai trouvé humiliant et révélateur d’un certain désarroi, de vouloir à tout prix « moderniser » les dénominations de nos écoles en essayant de singer les universités anglo-saxonnes, pour s’appeler </w:t>
      </w:r>
      <w:proofErr w:type="spellStart"/>
      <w:r>
        <w:t>Agrocampus</w:t>
      </w:r>
      <w:proofErr w:type="spellEnd"/>
      <w:r>
        <w:t xml:space="preserve">, </w:t>
      </w:r>
      <w:proofErr w:type="spellStart"/>
      <w:r>
        <w:t>SupAgro</w:t>
      </w:r>
      <w:proofErr w:type="spellEnd"/>
      <w:r>
        <w:t xml:space="preserve">, etc. A-t-on vu Harvard, le MIT ou Berkeley éprouver le besoin de changer de nom ? Ne vaut-il pas mieux encourager les pratiques fécondes d’enseignement et de recherche, et donc changer le contenu plutôt que le flacon ? </w:t>
      </w:r>
      <w:r w:rsidR="003722A1">
        <w:t>(</w:t>
      </w:r>
      <w:proofErr w:type="gramStart"/>
      <w:r w:rsidR="003722A1">
        <w:t>page</w:t>
      </w:r>
      <w:proofErr w:type="gramEnd"/>
      <w:r w:rsidR="003722A1">
        <w:t xml:space="preserve"> 29)</w:t>
      </w:r>
    </w:p>
    <w:p w14:paraId="274BC1CA" w14:textId="6D89A98B" w:rsidR="008C52E2" w:rsidRPr="00F0146A" w:rsidRDefault="00C744B8" w:rsidP="008C52E2">
      <w:pPr>
        <w:jc w:val="both"/>
        <w:rPr>
          <w:b/>
          <w:bCs/>
        </w:rPr>
      </w:pPr>
      <w:r w:rsidRPr="00F0146A">
        <w:rPr>
          <w:b/>
          <w:bCs/>
        </w:rPr>
        <w:t>Leçons de</w:t>
      </w:r>
      <w:r w:rsidR="00D57F79" w:rsidRPr="00F0146A">
        <w:rPr>
          <w:b/>
          <w:bCs/>
        </w:rPr>
        <w:t xml:space="preserve"> la </w:t>
      </w:r>
      <w:r w:rsidR="00D57F79" w:rsidRPr="00F0146A">
        <w:rPr>
          <w:b/>
          <w:bCs/>
          <w:i/>
          <w:iCs/>
        </w:rPr>
        <w:t xml:space="preserve">London </w:t>
      </w:r>
      <w:proofErr w:type="spellStart"/>
      <w:r w:rsidR="00D57F79" w:rsidRPr="00F0146A">
        <w:rPr>
          <w:b/>
          <w:bCs/>
          <w:i/>
          <w:iCs/>
        </w:rPr>
        <w:t>School</w:t>
      </w:r>
      <w:proofErr w:type="spellEnd"/>
      <w:r w:rsidR="00D57F79" w:rsidRPr="00F0146A">
        <w:rPr>
          <w:b/>
          <w:bCs/>
          <w:i/>
          <w:iCs/>
        </w:rPr>
        <w:t xml:space="preserve"> of </w:t>
      </w:r>
      <w:proofErr w:type="spellStart"/>
      <w:r w:rsidR="00D57F79" w:rsidRPr="00F0146A">
        <w:rPr>
          <w:b/>
          <w:bCs/>
          <w:i/>
          <w:iCs/>
        </w:rPr>
        <w:t>Economics</w:t>
      </w:r>
      <w:proofErr w:type="spellEnd"/>
    </w:p>
    <w:p w14:paraId="7B007B3E" w14:textId="7FFAC152" w:rsidR="00CA2061" w:rsidRPr="00D57F79" w:rsidRDefault="00D57F79" w:rsidP="00A63563">
      <w:pPr>
        <w:jc w:val="both"/>
      </w:pPr>
      <w:r w:rsidRPr="00D57F79">
        <w:lastRenderedPageBreak/>
        <w:t xml:space="preserve">J’ai </w:t>
      </w:r>
      <w:r w:rsidR="00A63563" w:rsidRPr="00D57F79">
        <w:t>assuré</w:t>
      </w:r>
      <w:r w:rsidRPr="00D57F79">
        <w:t xml:space="preserve"> en 1999 u</w:t>
      </w:r>
      <w:r>
        <w:t xml:space="preserve">n cours sur la PAC à la </w:t>
      </w:r>
      <w:r w:rsidRPr="00C7216A">
        <w:rPr>
          <w:i/>
          <w:iCs/>
        </w:rPr>
        <w:t xml:space="preserve">London </w:t>
      </w:r>
      <w:proofErr w:type="spellStart"/>
      <w:r w:rsidRPr="00C7216A">
        <w:rPr>
          <w:i/>
          <w:iCs/>
        </w:rPr>
        <w:t>School</w:t>
      </w:r>
      <w:proofErr w:type="spellEnd"/>
      <w:r w:rsidRPr="00C7216A">
        <w:rPr>
          <w:i/>
          <w:iCs/>
        </w:rPr>
        <w:t xml:space="preserve"> of </w:t>
      </w:r>
      <w:proofErr w:type="spellStart"/>
      <w:r w:rsidRPr="00C7216A">
        <w:rPr>
          <w:i/>
          <w:iCs/>
        </w:rPr>
        <w:t>Econ</w:t>
      </w:r>
      <w:r w:rsidR="00C7216A" w:rsidRPr="00C7216A">
        <w:rPr>
          <w:i/>
          <w:iCs/>
        </w:rPr>
        <w:t>o</w:t>
      </w:r>
      <w:r w:rsidRPr="00C7216A">
        <w:rPr>
          <w:i/>
          <w:iCs/>
        </w:rPr>
        <w:t>mic</w:t>
      </w:r>
      <w:r w:rsidR="00C7216A" w:rsidRPr="00C7216A">
        <w:rPr>
          <w:i/>
          <w:iCs/>
        </w:rPr>
        <w:t>s</w:t>
      </w:r>
      <w:proofErr w:type="spellEnd"/>
      <w:r>
        <w:t xml:space="preserve"> (LSE). L’expérience </w:t>
      </w:r>
      <w:r w:rsidR="00593A3F">
        <w:t>y</w:t>
      </w:r>
      <w:r>
        <w:t xml:space="preserve"> a été exigeante et stimulante. J’ai dû fournir des notes de cours rédigées, concevoir plusieurs TD </w:t>
      </w:r>
      <w:r w:rsidR="00C7216A">
        <w:t xml:space="preserve">(travaux dirigés) </w:t>
      </w:r>
      <w:r>
        <w:t xml:space="preserve">et soumettre un projet d’examen </w:t>
      </w:r>
      <w:r w:rsidR="00A63563">
        <w:t>final</w:t>
      </w:r>
      <w:r>
        <w:t xml:space="preserve"> environ </w:t>
      </w:r>
      <w:r w:rsidR="00A63563">
        <w:t>deux</w:t>
      </w:r>
      <w:r>
        <w:t xml:space="preserve"> mois avant la date de celui-ci pour qu’</w:t>
      </w:r>
      <w:r w:rsidR="00F00D25">
        <w:t>il</w:t>
      </w:r>
      <w:r>
        <w:t xml:space="preserve"> soit passé en revue par des collègues appelés à faire des remarques et à le valider. </w:t>
      </w:r>
      <w:r w:rsidR="00A63563">
        <w:t>Au-delà</w:t>
      </w:r>
      <w:r>
        <w:t xml:space="preserve"> de la </w:t>
      </w:r>
      <w:r w:rsidR="00A63563">
        <w:t>satisfaction</w:t>
      </w:r>
      <w:r>
        <w:t xml:space="preserve"> de voir mes divers documents validés, </w:t>
      </w:r>
      <w:r w:rsidR="00A63563">
        <w:t>j’ai apprécié le sérieux avec lequel l’institution surveille le contenu des cours et des examens, et exige une validation par d’autres collègues. Un autre monde, en somme, que celui que j’ai vu en France où l’enseignant est maître à bord, sauf si la bureaucratie s’en mêle. (</w:t>
      </w:r>
      <w:proofErr w:type="gramStart"/>
      <w:r w:rsidR="00A63563">
        <w:t>pp.</w:t>
      </w:r>
      <w:proofErr w:type="gramEnd"/>
      <w:r w:rsidR="00A63563">
        <w:t xml:space="preserve"> 35-36)</w:t>
      </w:r>
    </w:p>
    <w:p w14:paraId="4DED9238" w14:textId="77777777" w:rsidR="00CA440E" w:rsidRPr="001E745D" w:rsidRDefault="00CA440E" w:rsidP="00CA440E">
      <w:pPr>
        <w:rPr>
          <w:b/>
          <w:bCs/>
        </w:rPr>
      </w:pPr>
      <w:r w:rsidRPr="001E745D">
        <w:rPr>
          <w:b/>
          <w:bCs/>
        </w:rPr>
        <w:t>Propositions territorialisées, paiements pour services environnementaux</w:t>
      </w:r>
    </w:p>
    <w:p w14:paraId="1F72ADD2" w14:textId="1CB0F787" w:rsidR="00903822" w:rsidRDefault="00C7216A" w:rsidP="00CA440E">
      <w:pPr>
        <w:jc w:val="both"/>
      </w:pPr>
      <w:r>
        <w:t xml:space="preserve">Peu après </w:t>
      </w:r>
      <w:r w:rsidR="00CA440E">
        <w:t>mon départ en retraite en 2003</w:t>
      </w:r>
      <w:r>
        <w:t>,</w:t>
      </w:r>
      <w:r w:rsidR="00CA440E">
        <w:t xml:space="preserve"> </w:t>
      </w:r>
      <w:r w:rsidR="00CA440E" w:rsidRPr="00360FE9">
        <w:rPr>
          <w:i/>
          <w:iCs/>
        </w:rPr>
        <w:t>Notre Europe</w:t>
      </w:r>
      <w:r w:rsidR="00CA440E">
        <w:t xml:space="preserve"> </w:t>
      </w:r>
      <w:r w:rsidR="00E15210">
        <w:t xml:space="preserve">(devenu l’Institut Jacques Delors) </w:t>
      </w:r>
      <w:r w:rsidR="00CA440E">
        <w:t>proposa à Jean-Christophe Bureau et moi-même une libre réflexion pour une PAC de l’après 2013, vraiment tournée vers l’environnement et le monde rural (</w:t>
      </w:r>
      <w:r w:rsidR="0059494E">
        <w:t xml:space="preserve">Bureau, Mahé, </w:t>
      </w:r>
      <w:r w:rsidR="00CA440E" w:rsidRPr="001E745D">
        <w:rPr>
          <w:i/>
          <w:iCs/>
        </w:rPr>
        <w:t>2013</w:t>
      </w:r>
      <w:r w:rsidR="00CA440E">
        <w:t xml:space="preserve">). Pour l’essentiel, il s’agissait de sortir du système des primes à l’hectare et d’introduire des paiements verts, ciblés sur les services publics environnementaux effectifs. Ils devaient être contractuels, </w:t>
      </w:r>
      <w:proofErr w:type="spellStart"/>
      <w:r w:rsidR="00CA440E" w:rsidRPr="001E745D">
        <w:rPr>
          <w:i/>
          <w:iCs/>
        </w:rPr>
        <w:t>intuitae</w:t>
      </w:r>
      <w:proofErr w:type="spellEnd"/>
      <w:r w:rsidR="00CA440E" w:rsidRPr="001E745D">
        <w:rPr>
          <w:i/>
          <w:iCs/>
        </w:rPr>
        <w:t xml:space="preserve"> personae</w:t>
      </w:r>
      <w:r w:rsidR="00CA440E">
        <w:t xml:space="preserve">, et donc ni héritables ni cessibles pour éviter les effets de rente, de capitalisation et de freins à l’installation des jeunes. Les principes du ciblage et de proportionnalité impliquaient une différenciation des aides selon la nature des zones des territoires ruraux, et le cofinancement national généralisé était vu comme un moyen de limiter l’opportunisme des Etats membres à l’égard du budget européen. </w:t>
      </w:r>
      <w:r w:rsidR="00593A3F">
        <w:t>(</w:t>
      </w:r>
      <w:proofErr w:type="gramStart"/>
      <w:r w:rsidR="00593A3F">
        <w:t>page</w:t>
      </w:r>
      <w:proofErr w:type="gramEnd"/>
      <w:r w:rsidR="00593A3F">
        <w:t xml:space="preserve"> 39)</w:t>
      </w:r>
    </w:p>
    <w:p w14:paraId="463927DB" w14:textId="13AC34E1" w:rsidR="00903822" w:rsidRPr="006079F3" w:rsidRDefault="00903822" w:rsidP="006079F3">
      <w:pPr>
        <w:ind w:left="360"/>
        <w:jc w:val="both"/>
        <w:rPr>
          <w:rStyle w:val="Hyperlink"/>
          <w:i/>
          <w:iCs/>
          <w:color w:val="auto"/>
          <w:u w:val="none"/>
        </w:rPr>
      </w:pPr>
      <w:r w:rsidRPr="006079F3">
        <w:rPr>
          <w:rStyle w:val="Hyperlink"/>
          <w:i/>
          <w:iCs/>
          <w:color w:val="auto"/>
          <w:u w:val="none"/>
        </w:rPr>
        <w:t xml:space="preserve">Publié en 2008, </w:t>
      </w:r>
      <w:r w:rsidRPr="00F00D25">
        <w:rPr>
          <w:rStyle w:val="Hyperlink"/>
          <w:color w:val="auto"/>
          <w:u w:val="none"/>
        </w:rPr>
        <w:t xml:space="preserve">« CAP </w:t>
      </w:r>
      <w:proofErr w:type="spellStart"/>
      <w:r w:rsidRPr="00F00D25">
        <w:rPr>
          <w:rStyle w:val="Hyperlink"/>
          <w:color w:val="auto"/>
          <w:u w:val="none"/>
        </w:rPr>
        <w:t>reform</w:t>
      </w:r>
      <w:proofErr w:type="spellEnd"/>
      <w:r w:rsidRPr="00F00D25">
        <w:rPr>
          <w:rStyle w:val="Hyperlink"/>
          <w:color w:val="auto"/>
          <w:u w:val="none"/>
        </w:rPr>
        <w:t xml:space="preserve"> </w:t>
      </w:r>
      <w:proofErr w:type="spellStart"/>
      <w:r w:rsidRPr="00F00D25">
        <w:rPr>
          <w:rStyle w:val="Hyperlink"/>
          <w:color w:val="auto"/>
          <w:u w:val="none"/>
        </w:rPr>
        <w:t>beyond</w:t>
      </w:r>
      <w:proofErr w:type="spellEnd"/>
      <w:r w:rsidRPr="00F00D25">
        <w:rPr>
          <w:rStyle w:val="Hyperlink"/>
          <w:color w:val="auto"/>
          <w:u w:val="none"/>
        </w:rPr>
        <w:t xml:space="preserve"> 2013 : An </w:t>
      </w:r>
      <w:proofErr w:type="spellStart"/>
      <w:r w:rsidRPr="00F00D25">
        <w:rPr>
          <w:rStyle w:val="Hyperlink"/>
          <w:color w:val="auto"/>
          <w:u w:val="none"/>
        </w:rPr>
        <w:t>idea</w:t>
      </w:r>
      <w:proofErr w:type="spellEnd"/>
      <w:r w:rsidRPr="00F00D25">
        <w:rPr>
          <w:rStyle w:val="Hyperlink"/>
          <w:color w:val="auto"/>
          <w:u w:val="none"/>
        </w:rPr>
        <w:t xml:space="preserve"> for a longer </w:t>
      </w:r>
      <w:proofErr w:type="spellStart"/>
      <w:r w:rsidRPr="00F00D25">
        <w:rPr>
          <w:rStyle w:val="Hyperlink"/>
          <w:color w:val="auto"/>
          <w:u w:val="none"/>
        </w:rPr>
        <w:t>view</w:t>
      </w:r>
      <w:proofErr w:type="spellEnd"/>
      <w:r w:rsidRPr="00F00D25">
        <w:rPr>
          <w:rStyle w:val="Hyperlink"/>
          <w:color w:val="auto"/>
          <w:u w:val="none"/>
        </w:rPr>
        <w:t> »</w:t>
      </w:r>
      <w:r w:rsidRPr="006079F3">
        <w:rPr>
          <w:rStyle w:val="Hyperlink"/>
          <w:i/>
          <w:iCs/>
          <w:color w:val="auto"/>
          <w:u w:val="none"/>
        </w:rPr>
        <w:t xml:space="preserve"> </w:t>
      </w:r>
      <w:r w:rsidRPr="006079F3">
        <w:rPr>
          <w:i/>
          <w:iCs/>
        </w:rPr>
        <w:t>(</w:t>
      </w:r>
      <w:bookmarkStart w:id="1" w:name="_Hlk171070061"/>
      <w:r w:rsidR="00DA3BF8" w:rsidRPr="006079F3">
        <w:rPr>
          <w:rStyle w:val="Hyperlink"/>
          <w:i/>
          <w:iCs/>
          <w:color w:val="auto"/>
          <w:u w:val="none"/>
        </w:rPr>
        <w:t>Notre Europe</w:t>
      </w:r>
      <w:r w:rsidR="00DA3BF8">
        <w:rPr>
          <w:rStyle w:val="Hyperlink"/>
          <w:i/>
          <w:iCs/>
          <w:color w:val="auto"/>
          <w:u w:val="none"/>
        </w:rPr>
        <w:t>,</w:t>
      </w:r>
      <w:r w:rsidR="00DA3BF8" w:rsidRPr="006079F3">
        <w:rPr>
          <w:i/>
          <w:iCs/>
        </w:rPr>
        <w:t xml:space="preserve"> </w:t>
      </w:r>
      <w:r w:rsidRPr="006079F3">
        <w:rPr>
          <w:i/>
          <w:iCs/>
        </w:rPr>
        <w:t>Bureau</w:t>
      </w:r>
      <w:r w:rsidR="00DA3BF8">
        <w:rPr>
          <w:i/>
          <w:iCs/>
        </w:rPr>
        <w:t xml:space="preserve"> et</w:t>
      </w:r>
      <w:r w:rsidRPr="006079F3">
        <w:rPr>
          <w:i/>
          <w:iCs/>
        </w:rPr>
        <w:t xml:space="preserve"> Mahé, </w:t>
      </w:r>
      <w:proofErr w:type="gramStart"/>
      <w:r w:rsidRPr="006079F3">
        <w:rPr>
          <w:i/>
          <w:iCs/>
        </w:rPr>
        <w:t>2012 </w:t>
      </w:r>
      <w:bookmarkEnd w:id="1"/>
      <w:r w:rsidRPr="006079F3">
        <w:rPr>
          <w:rStyle w:val="Hyperlink"/>
          <w:i/>
          <w:iCs/>
          <w:color w:val="auto"/>
          <w:u w:val="none"/>
        </w:rPr>
        <w:t>)</w:t>
      </w:r>
      <w:proofErr w:type="gramEnd"/>
      <w:r w:rsidRPr="006079F3">
        <w:rPr>
          <w:rStyle w:val="Hyperlink"/>
          <w:i/>
          <w:iCs/>
          <w:color w:val="auto"/>
          <w:u w:val="none"/>
        </w:rPr>
        <w:t xml:space="preserve"> suggère un changement radical de la PAC pour promouvoir une agriculture à la fois performante, comme le propose le Traité de Rome, mais aussi durable, attentive à la viabilité des territoires ruraux. Nonobstant le volet « structurel » de la PAC, cette dernière préoccupation n’a pas été satisfaite. En conséquence, les auteurs proposent que l’intervention publique soit recentrée sur quatre exigences : </w:t>
      </w:r>
    </w:p>
    <w:p w14:paraId="19BAE8AF" w14:textId="77777777" w:rsidR="00903822" w:rsidRPr="006079F3" w:rsidRDefault="00903822" w:rsidP="006079F3">
      <w:pPr>
        <w:pStyle w:val="ListParagraph"/>
        <w:numPr>
          <w:ilvl w:val="0"/>
          <w:numId w:val="3"/>
        </w:numPr>
        <w:ind w:left="1080"/>
        <w:jc w:val="both"/>
        <w:rPr>
          <w:rStyle w:val="Hyperlink"/>
          <w:i/>
          <w:iCs/>
          <w:color w:val="auto"/>
          <w:u w:val="none"/>
        </w:rPr>
      </w:pPr>
      <w:proofErr w:type="gramStart"/>
      <w:r w:rsidRPr="006079F3">
        <w:rPr>
          <w:rStyle w:val="Hyperlink"/>
          <w:i/>
          <w:iCs/>
          <w:color w:val="auto"/>
          <w:u w:val="none"/>
        </w:rPr>
        <w:t>corriger</w:t>
      </w:r>
      <w:proofErr w:type="gramEnd"/>
      <w:r w:rsidRPr="006079F3">
        <w:rPr>
          <w:rStyle w:val="Hyperlink"/>
          <w:i/>
          <w:iCs/>
          <w:color w:val="auto"/>
          <w:u w:val="none"/>
        </w:rPr>
        <w:t xml:space="preserve"> les défaillances de marché,</w:t>
      </w:r>
    </w:p>
    <w:p w14:paraId="327D392C" w14:textId="77777777" w:rsidR="00903822" w:rsidRPr="006079F3" w:rsidRDefault="00903822" w:rsidP="006079F3">
      <w:pPr>
        <w:pStyle w:val="ListParagraph"/>
        <w:numPr>
          <w:ilvl w:val="0"/>
          <w:numId w:val="3"/>
        </w:numPr>
        <w:ind w:left="1080"/>
        <w:jc w:val="both"/>
        <w:rPr>
          <w:rStyle w:val="Hyperlink"/>
          <w:i/>
          <w:iCs/>
          <w:color w:val="auto"/>
          <w:u w:val="none"/>
        </w:rPr>
      </w:pPr>
      <w:proofErr w:type="gramStart"/>
      <w:r w:rsidRPr="006079F3">
        <w:rPr>
          <w:rStyle w:val="Hyperlink"/>
          <w:i/>
          <w:iCs/>
          <w:color w:val="auto"/>
          <w:u w:val="none"/>
        </w:rPr>
        <w:t>rechercher</w:t>
      </w:r>
      <w:proofErr w:type="gramEnd"/>
      <w:r w:rsidRPr="006079F3">
        <w:rPr>
          <w:rStyle w:val="Hyperlink"/>
          <w:i/>
          <w:iCs/>
          <w:color w:val="auto"/>
          <w:u w:val="none"/>
        </w:rPr>
        <w:t xml:space="preserve"> les incitations plutôt que les mesures de soutien,</w:t>
      </w:r>
    </w:p>
    <w:p w14:paraId="09071E49" w14:textId="44A62D0E" w:rsidR="00903822" w:rsidRPr="006079F3" w:rsidRDefault="00903822" w:rsidP="006079F3">
      <w:pPr>
        <w:pStyle w:val="ListParagraph"/>
        <w:numPr>
          <w:ilvl w:val="0"/>
          <w:numId w:val="3"/>
        </w:numPr>
        <w:ind w:left="1080"/>
        <w:jc w:val="both"/>
        <w:rPr>
          <w:rStyle w:val="Hyperlink"/>
          <w:i/>
          <w:iCs/>
          <w:color w:val="auto"/>
          <w:u w:val="none"/>
        </w:rPr>
      </w:pPr>
      <w:proofErr w:type="gramStart"/>
      <w:r w:rsidRPr="006079F3">
        <w:rPr>
          <w:rStyle w:val="Hyperlink"/>
          <w:i/>
          <w:iCs/>
          <w:color w:val="auto"/>
          <w:u w:val="none"/>
        </w:rPr>
        <w:t>réserver</w:t>
      </w:r>
      <w:proofErr w:type="gramEnd"/>
      <w:r w:rsidRPr="006079F3">
        <w:rPr>
          <w:rStyle w:val="Hyperlink"/>
          <w:i/>
          <w:iCs/>
          <w:color w:val="auto"/>
          <w:u w:val="none"/>
        </w:rPr>
        <w:t xml:space="preserve"> les ressources fiscales aux </w:t>
      </w:r>
      <w:r w:rsidR="00C0023E">
        <w:rPr>
          <w:rStyle w:val="Hyperlink"/>
          <w:i/>
          <w:iCs/>
          <w:color w:val="auto"/>
          <w:u w:val="none"/>
        </w:rPr>
        <w:t xml:space="preserve">biens publics et aux </w:t>
      </w:r>
      <w:r w:rsidRPr="006079F3">
        <w:rPr>
          <w:rStyle w:val="Hyperlink"/>
          <w:i/>
          <w:iCs/>
          <w:color w:val="auto"/>
          <w:u w:val="none"/>
        </w:rPr>
        <w:t>besoins sociaux,</w:t>
      </w:r>
    </w:p>
    <w:p w14:paraId="71218D11" w14:textId="41A54A67" w:rsidR="00903822" w:rsidRPr="006079F3" w:rsidRDefault="00903822" w:rsidP="006079F3">
      <w:pPr>
        <w:pStyle w:val="ListParagraph"/>
        <w:numPr>
          <w:ilvl w:val="0"/>
          <w:numId w:val="3"/>
        </w:numPr>
        <w:ind w:left="1080"/>
        <w:jc w:val="both"/>
        <w:rPr>
          <w:rStyle w:val="Hyperlink"/>
          <w:i/>
          <w:iCs/>
          <w:color w:val="auto"/>
          <w:u w:val="none"/>
        </w:rPr>
      </w:pPr>
      <w:proofErr w:type="gramStart"/>
      <w:r w:rsidRPr="006079F3">
        <w:rPr>
          <w:rStyle w:val="Hyperlink"/>
          <w:i/>
          <w:iCs/>
          <w:color w:val="auto"/>
          <w:u w:val="none"/>
        </w:rPr>
        <w:t>appliquer</w:t>
      </w:r>
      <w:proofErr w:type="gramEnd"/>
      <w:r w:rsidRPr="006079F3">
        <w:rPr>
          <w:rStyle w:val="Hyperlink"/>
          <w:i/>
          <w:iCs/>
          <w:color w:val="auto"/>
          <w:u w:val="none"/>
        </w:rPr>
        <w:t xml:space="preserve"> le principe de sub</w:t>
      </w:r>
      <w:r w:rsidR="00C0023E">
        <w:rPr>
          <w:rStyle w:val="Hyperlink"/>
          <w:i/>
          <w:iCs/>
          <w:color w:val="auto"/>
          <w:u w:val="none"/>
        </w:rPr>
        <w:t>sidiarité</w:t>
      </w:r>
      <w:r w:rsidRPr="006079F3">
        <w:rPr>
          <w:rStyle w:val="Hyperlink"/>
          <w:i/>
          <w:iCs/>
          <w:color w:val="auto"/>
          <w:u w:val="none"/>
        </w:rPr>
        <w:t xml:space="preserve"> de manière étendue. </w:t>
      </w:r>
    </w:p>
    <w:p w14:paraId="05931EAF" w14:textId="72845280" w:rsidR="00903822" w:rsidRPr="006079F3" w:rsidRDefault="00903822" w:rsidP="006079F3">
      <w:pPr>
        <w:ind w:left="360"/>
        <w:jc w:val="both"/>
        <w:rPr>
          <w:rStyle w:val="Hyperlink"/>
          <w:i/>
          <w:iCs/>
          <w:color w:val="auto"/>
          <w:u w:val="none"/>
        </w:rPr>
      </w:pPr>
      <w:r w:rsidRPr="006079F3">
        <w:rPr>
          <w:rStyle w:val="Hyperlink"/>
          <w:i/>
          <w:iCs/>
          <w:color w:val="auto"/>
          <w:u w:val="none"/>
        </w:rPr>
        <w:t>Les auteurs du document estiment que les coûts de transaction rendent inopérants les ajustements à la marge, et que, dans l’intérêt général de l’Europe, « bien public européen », c’est la cohésion</w:t>
      </w:r>
      <w:r w:rsidR="00F00D25">
        <w:rPr>
          <w:rStyle w:val="Hyperlink"/>
          <w:i/>
          <w:iCs/>
          <w:color w:val="auto"/>
          <w:u w:val="none"/>
        </w:rPr>
        <w:t xml:space="preserve"> même</w:t>
      </w:r>
      <w:r w:rsidRPr="006079F3">
        <w:rPr>
          <w:rStyle w:val="Hyperlink"/>
          <w:i/>
          <w:iCs/>
          <w:color w:val="auto"/>
          <w:u w:val="none"/>
        </w:rPr>
        <w:t xml:space="preserve"> de la PAC qui doit être restaurée. Dans cet esprit, ils estiment que les dépenses peuvent être réduites et doivent être réorganisées </w:t>
      </w:r>
      <w:r w:rsidR="00F00D25">
        <w:rPr>
          <w:rStyle w:val="Hyperlink"/>
          <w:i/>
          <w:iCs/>
          <w:color w:val="auto"/>
          <w:u w:val="none"/>
        </w:rPr>
        <w:t>pour</w:t>
      </w:r>
      <w:r w:rsidRPr="006079F3">
        <w:rPr>
          <w:rStyle w:val="Hyperlink"/>
          <w:i/>
          <w:iCs/>
          <w:color w:val="auto"/>
          <w:u w:val="none"/>
        </w:rPr>
        <w:t xml:space="preserve"> s’opposer au comportement opportuniste des Etats membres. La légitimité de la PAC paraît contestable si elle ne concerne qu’un secteur étroit, quelle </w:t>
      </w:r>
      <w:r w:rsidR="00DA3BF8">
        <w:rPr>
          <w:rStyle w:val="Hyperlink"/>
          <w:i/>
          <w:iCs/>
          <w:color w:val="auto"/>
          <w:u w:val="none"/>
        </w:rPr>
        <w:t xml:space="preserve">que </w:t>
      </w:r>
      <w:r w:rsidRPr="006079F3">
        <w:rPr>
          <w:rStyle w:val="Hyperlink"/>
          <w:i/>
          <w:iCs/>
          <w:color w:val="auto"/>
          <w:u w:val="none"/>
        </w:rPr>
        <w:t>soit son importance, et ne bénéficie qu’à une minorité de grandes exploitations qui se contentent de pratiques conventionnelles.</w:t>
      </w:r>
    </w:p>
    <w:p w14:paraId="2E0F3B99" w14:textId="6086E408" w:rsidR="00CA440E" w:rsidRPr="00664D71" w:rsidRDefault="006079F3" w:rsidP="00CA440E">
      <w:pPr>
        <w:jc w:val="both"/>
        <w:rPr>
          <w:lang w:val="en-GB"/>
        </w:rPr>
      </w:pPr>
      <w:r>
        <w:lastRenderedPageBreak/>
        <w:t>C</w:t>
      </w:r>
      <w:r w:rsidR="00903822">
        <w:t xml:space="preserve">inq ans avant les décisions, le document </w:t>
      </w:r>
      <w:r w:rsidR="00CA440E">
        <w:t xml:space="preserve">eut paraît-il un certain écho à la Commission </w:t>
      </w:r>
      <w:r w:rsidR="00DA3BF8">
        <w:t xml:space="preserve">européenne </w:t>
      </w:r>
      <w:r w:rsidR="00CA440E">
        <w:t>qui préparait la réforme de 2013.  Toutefois, après le passage dans la machinerie communautaire du trilogue entre le Conseil, le Parlement et la Commission, la réforme finale de 2013 fut encore</w:t>
      </w:r>
      <w:r w:rsidR="00903822">
        <w:t xml:space="preserve"> décevante</w:t>
      </w:r>
      <w:r w:rsidR="00CA440E" w:rsidRPr="00C7216A">
        <w:t xml:space="preserve">. </w:t>
      </w:r>
      <w:r w:rsidR="00CA440E" w:rsidRPr="00664D71">
        <w:rPr>
          <w:lang w:val="en-GB"/>
        </w:rPr>
        <w:t>(page 39)</w:t>
      </w:r>
    </w:p>
    <w:p w14:paraId="62507063" w14:textId="77777777" w:rsidR="0059494E" w:rsidRPr="00664D71" w:rsidRDefault="0059494E" w:rsidP="00CA440E">
      <w:pPr>
        <w:jc w:val="both"/>
        <w:rPr>
          <w:lang w:val="en-GB"/>
        </w:rPr>
      </w:pPr>
    </w:p>
    <w:p w14:paraId="1F754803" w14:textId="1DFEAA90" w:rsidR="00E15210" w:rsidRPr="00664D71" w:rsidRDefault="00E15210">
      <w:pPr>
        <w:rPr>
          <w:b/>
          <w:bCs/>
          <w:lang w:val="en-GB"/>
        </w:rPr>
      </w:pPr>
    </w:p>
    <w:p w14:paraId="3E1A8A45" w14:textId="62E7FC9B" w:rsidR="00A4039F" w:rsidRPr="00664D71" w:rsidRDefault="00A45C6B" w:rsidP="00DA3BF8">
      <w:pPr>
        <w:jc w:val="center"/>
        <w:rPr>
          <w:b/>
          <w:bCs/>
          <w:lang w:val="en-GB"/>
        </w:rPr>
      </w:pPr>
      <w:proofErr w:type="spellStart"/>
      <w:r w:rsidRPr="00664D71">
        <w:rPr>
          <w:b/>
          <w:bCs/>
          <w:lang w:val="en-GB"/>
        </w:rPr>
        <w:t>Références</w:t>
      </w:r>
      <w:proofErr w:type="spellEnd"/>
    </w:p>
    <w:p w14:paraId="488B0E99" w14:textId="4121333B" w:rsidR="002D64D6" w:rsidRPr="00664D71" w:rsidRDefault="002D64D6" w:rsidP="002D64D6">
      <w:pPr>
        <w:jc w:val="both"/>
        <w:rPr>
          <w:lang w:val="en-GB"/>
        </w:rPr>
      </w:pPr>
      <w:r w:rsidRPr="00140C3A">
        <w:rPr>
          <w:lang w:val="en-GB"/>
        </w:rPr>
        <w:t>Bureau J-Chr, Mahé L-P</w:t>
      </w:r>
      <w:r w:rsidR="00E40E32" w:rsidRPr="00140C3A">
        <w:rPr>
          <w:lang w:val="en-GB"/>
        </w:rPr>
        <w:t xml:space="preserve"> (2013)</w:t>
      </w:r>
      <w:r w:rsidRPr="00140C3A">
        <w:rPr>
          <w:lang w:val="en-GB"/>
        </w:rPr>
        <w:t>,</w:t>
      </w:r>
      <w:r w:rsidRPr="00140C3A">
        <w:rPr>
          <w:i/>
          <w:iCs/>
          <w:lang w:val="en-GB"/>
        </w:rPr>
        <w:t xml:space="preserve"> CAP reform beyon</w:t>
      </w:r>
      <w:r w:rsidR="00E40E32" w:rsidRPr="00140C3A">
        <w:rPr>
          <w:i/>
          <w:iCs/>
          <w:lang w:val="en-GB"/>
        </w:rPr>
        <w:t>d</w:t>
      </w:r>
      <w:r w:rsidRPr="00140C3A">
        <w:rPr>
          <w:i/>
          <w:iCs/>
          <w:lang w:val="en-GB"/>
        </w:rPr>
        <w:t xml:space="preserve"> 2013: An Idea for a longer view</w:t>
      </w:r>
      <w:r w:rsidRPr="00140C3A">
        <w:rPr>
          <w:lang w:val="en-GB"/>
        </w:rPr>
        <w:t xml:space="preserve">. </w:t>
      </w:r>
      <w:r w:rsidRPr="00664D71">
        <w:rPr>
          <w:lang w:val="en-GB"/>
        </w:rPr>
        <w:t>Notre Europe, Studies and Research 64, 2013</w:t>
      </w:r>
    </w:p>
    <w:p w14:paraId="19BBEAE9" w14:textId="6EB8C317" w:rsidR="002D64D6" w:rsidRPr="004B73A8" w:rsidRDefault="002D64D6" w:rsidP="002D64D6">
      <w:pPr>
        <w:jc w:val="both"/>
      </w:pPr>
      <w:r w:rsidRPr="001E745D">
        <w:t>Bureau J-Chr, Mahé L-P</w:t>
      </w:r>
      <w:r w:rsidR="00E40E32">
        <w:t xml:space="preserve"> (2012)</w:t>
      </w:r>
      <w:r w:rsidRPr="001E745D">
        <w:t xml:space="preserve">, </w:t>
      </w:r>
      <w:r>
        <w:t xml:space="preserve">Le Projet d’une PAC pour l’après 2013 annonce-t-il une « grande réforme ? </w:t>
      </w:r>
      <w:r w:rsidRPr="004B73A8">
        <w:t xml:space="preserve">Notre Europe, mars 2012. </w:t>
      </w:r>
    </w:p>
    <w:p w14:paraId="10EA2B87" w14:textId="77777777" w:rsidR="00895E94" w:rsidRDefault="00895E94" w:rsidP="00F23E36">
      <w:pPr>
        <w:jc w:val="both"/>
      </w:pPr>
      <w:r>
        <w:t xml:space="preserve">Gervais M, </w:t>
      </w:r>
      <w:proofErr w:type="spellStart"/>
      <w:r>
        <w:t>Servolin</w:t>
      </w:r>
      <w:proofErr w:type="spellEnd"/>
      <w:r>
        <w:t xml:space="preserve"> C, Weil J (1965), Une France sans paysans. Seuil</w:t>
      </w:r>
    </w:p>
    <w:p w14:paraId="3E5B42A1" w14:textId="40F84E8C" w:rsidR="00671DA6" w:rsidRDefault="00671DA6" w:rsidP="00F23E36">
      <w:pPr>
        <w:jc w:val="both"/>
      </w:pPr>
      <w:r>
        <w:t>Mahé, L-P</w:t>
      </w:r>
      <w:r w:rsidR="00E40E32">
        <w:t xml:space="preserve"> (1981)</w:t>
      </w:r>
      <w:r>
        <w:t>, Politiques de</w:t>
      </w:r>
      <w:r w:rsidR="000C4B78">
        <w:t xml:space="preserve"> </w:t>
      </w:r>
      <w:r>
        <w:t xml:space="preserve">prix agricoles : objectifs et </w:t>
      </w:r>
      <w:r w:rsidR="000F5911">
        <w:t>instruments</w:t>
      </w:r>
      <w:r>
        <w:t xml:space="preserve">, communication à la </w:t>
      </w:r>
      <w:proofErr w:type="spellStart"/>
      <w:r>
        <w:t>Sfer</w:t>
      </w:r>
      <w:proofErr w:type="spellEnd"/>
      <w:r>
        <w:t>, mars 1981</w:t>
      </w:r>
    </w:p>
    <w:p w14:paraId="1123C14E" w14:textId="77553F3F" w:rsidR="00061039" w:rsidRDefault="00A45C6B" w:rsidP="00F23E36">
      <w:pPr>
        <w:jc w:val="both"/>
      </w:pPr>
      <w:r>
        <w:t>Mahé L-P</w:t>
      </w:r>
      <w:r w:rsidR="00E40E32">
        <w:t xml:space="preserve"> (1974)</w:t>
      </w:r>
      <w:r>
        <w:t xml:space="preserve">, Théorie économique et problèmes d’environnement. Cours polycopié, </w:t>
      </w:r>
      <w:proofErr w:type="spellStart"/>
      <w:r>
        <w:t>Ensar</w:t>
      </w:r>
      <w:proofErr w:type="spellEnd"/>
      <w:r>
        <w:t>, 3è année, 154 p.</w:t>
      </w:r>
    </w:p>
    <w:p w14:paraId="1AF2866A" w14:textId="5C4C5973" w:rsidR="00A45C6B" w:rsidRDefault="00061039" w:rsidP="00F23E36">
      <w:pPr>
        <w:jc w:val="both"/>
      </w:pPr>
      <w:r>
        <w:t xml:space="preserve">Mahé L-P (1998), en collaboration avec </w:t>
      </w:r>
      <w:proofErr w:type="spellStart"/>
      <w:r>
        <w:t>Daucé</w:t>
      </w:r>
      <w:proofErr w:type="spellEnd"/>
      <w:r>
        <w:t xml:space="preserve"> P., Léon Y., Le </w:t>
      </w:r>
      <w:proofErr w:type="spellStart"/>
      <w:r>
        <w:t>Goffe</w:t>
      </w:r>
      <w:proofErr w:type="spellEnd"/>
      <w:r>
        <w:t xml:space="preserve"> P., </w:t>
      </w:r>
      <w:proofErr w:type="spellStart"/>
      <w:r>
        <w:t>Quinqu</w:t>
      </w:r>
      <w:proofErr w:type="spellEnd"/>
      <w:r>
        <w:t xml:space="preserve"> M., </w:t>
      </w:r>
      <w:proofErr w:type="spellStart"/>
      <w:r>
        <w:t>Surry</w:t>
      </w:r>
      <w:proofErr w:type="spellEnd"/>
      <w:r>
        <w:t xml:space="preserve"> Y., </w:t>
      </w:r>
      <w:r w:rsidRPr="00061039">
        <w:t>Etude prospective sur l’agriculture bretonne</w:t>
      </w:r>
      <w:r>
        <w:t xml:space="preserve">, Rapport à la Préfecture e Région, contrat de Plan Etat-Région 2000-2006, </w:t>
      </w:r>
      <w:r w:rsidR="00A45C6B">
        <w:t xml:space="preserve"> </w:t>
      </w:r>
    </w:p>
    <w:p w14:paraId="74C9ABCA" w14:textId="4BEA3C80" w:rsidR="00626E59" w:rsidRDefault="00626E59" w:rsidP="00F23E36">
      <w:pPr>
        <w:jc w:val="both"/>
      </w:pPr>
      <w:r>
        <w:t>Mahé, L-P (</w:t>
      </w:r>
      <w:proofErr w:type="spellStart"/>
      <w:r>
        <w:t>dir</w:t>
      </w:r>
      <w:proofErr w:type="spellEnd"/>
      <w:r>
        <w:t>) (2000), L’avenir de l’agriculture bretonne. Continuité ou changement ?  Editions Apogée, 152 pages</w:t>
      </w:r>
    </w:p>
    <w:p w14:paraId="237456B3" w14:textId="646B1649" w:rsidR="00F23E36" w:rsidRDefault="00F23E36" w:rsidP="00F23E36">
      <w:pPr>
        <w:jc w:val="both"/>
      </w:pPr>
      <w:r>
        <w:t xml:space="preserve">Mahé L-P, </w:t>
      </w:r>
      <w:proofErr w:type="spellStart"/>
      <w:r>
        <w:t>Rainelli</w:t>
      </w:r>
      <w:proofErr w:type="spellEnd"/>
      <w:r>
        <w:t xml:space="preserve"> P.</w:t>
      </w:r>
      <w:r w:rsidR="00E40E32">
        <w:t xml:space="preserve"> (1987)</w:t>
      </w:r>
      <w:r>
        <w:t>, les effets des pratiques et des politiques agricoles sur l’environnement. Cahiers d’économie et de sociologies rurales, n° 4, avril 1987, pp. 11-31</w:t>
      </w:r>
    </w:p>
    <w:p w14:paraId="6E366DCA" w14:textId="4FCBB5CA" w:rsidR="002D64D6" w:rsidRDefault="002D64D6" w:rsidP="00F23E36">
      <w:pPr>
        <w:jc w:val="both"/>
      </w:pPr>
      <w:r>
        <w:t xml:space="preserve">Mahé L-P, </w:t>
      </w:r>
      <w:proofErr w:type="spellStart"/>
      <w:r>
        <w:t>Ortolo</w:t>
      </w:r>
      <w:proofErr w:type="spellEnd"/>
      <w:r>
        <w:t>-Magné, F</w:t>
      </w:r>
      <w:r w:rsidR="00E40E32">
        <w:t xml:space="preserve"> (2001)</w:t>
      </w:r>
      <w:r>
        <w:t xml:space="preserve">, Politique agricole, un modèle européen, Presses de Sciences Po, 2001 </w:t>
      </w:r>
    </w:p>
    <w:p w14:paraId="382BECB6" w14:textId="005D4682" w:rsidR="003722A1" w:rsidRDefault="003722A1" w:rsidP="003722A1">
      <w:pPr>
        <w:jc w:val="both"/>
      </w:pPr>
      <w:r>
        <w:t xml:space="preserve">Mahé L-P, Ropars C, (2001), L’exploitation régulée d’une ressource renouvelable : inefficacité d’un rationnement factoriel et efficacité des quotas individuels transférables, Economie et prévision, n° 148 200/2 pp. Agriculture et Environnement, année 2004, pp. 141-156 </w:t>
      </w:r>
    </w:p>
    <w:p w14:paraId="7A9437E6" w14:textId="63CCF171" w:rsidR="00833DF4" w:rsidRDefault="00833DF4" w:rsidP="00F23E36">
      <w:pPr>
        <w:jc w:val="both"/>
      </w:pPr>
      <w:r>
        <w:t>Mahé L-P (2004), Les apports de l’économie rurale des 20 dernières années</w:t>
      </w:r>
      <w:r w:rsidR="0049434A">
        <w:t xml:space="preserve"> à travers le Tome 2 du </w:t>
      </w:r>
      <w:proofErr w:type="spellStart"/>
      <w:r w:rsidR="0049434A" w:rsidRPr="0049434A">
        <w:rPr>
          <w:i/>
          <w:iCs/>
        </w:rPr>
        <w:t>Handbook</w:t>
      </w:r>
      <w:proofErr w:type="spellEnd"/>
      <w:r w:rsidR="0049434A" w:rsidRPr="0049434A">
        <w:rPr>
          <w:i/>
          <w:iCs/>
        </w:rPr>
        <w:t xml:space="preserve"> of Agricultural </w:t>
      </w:r>
      <w:proofErr w:type="spellStart"/>
      <w:r w:rsidR="0049434A" w:rsidRPr="0049434A">
        <w:rPr>
          <w:i/>
          <w:iCs/>
        </w:rPr>
        <w:t>Economics</w:t>
      </w:r>
      <w:proofErr w:type="spellEnd"/>
      <w:r w:rsidR="0049434A">
        <w:t xml:space="preserve">, Revue d’études en Agriculture et Environnement, année 2004, pp. 142-176 </w:t>
      </w:r>
    </w:p>
    <w:p w14:paraId="5222C630" w14:textId="24F8BBCB" w:rsidR="00263ACB" w:rsidRPr="00263ACB" w:rsidRDefault="00263ACB" w:rsidP="00F23E36">
      <w:pPr>
        <w:jc w:val="both"/>
      </w:pPr>
      <w:r w:rsidRPr="00263ACB">
        <w:rPr>
          <w:lang w:val="en-GB"/>
        </w:rPr>
        <w:t>Mahé L-P (2021), In me</w:t>
      </w:r>
      <w:r>
        <w:rPr>
          <w:lang w:val="en-GB"/>
        </w:rPr>
        <w:t xml:space="preserve">moriam Yves Surry. </w:t>
      </w:r>
      <w:r w:rsidRPr="00263ACB">
        <w:t>Economie rurale, 2021/2 n°37, pp. 7-11.</w:t>
      </w:r>
    </w:p>
    <w:p w14:paraId="6F3D1758" w14:textId="00935D62" w:rsidR="00AE6E2F" w:rsidRPr="00AE6E2F" w:rsidRDefault="00AE6E2F" w:rsidP="00F23E36">
      <w:pPr>
        <w:jc w:val="both"/>
        <w:rPr>
          <w:lang w:val="en-GB"/>
        </w:rPr>
      </w:pPr>
      <w:r w:rsidRPr="00AE6E2F">
        <w:lastRenderedPageBreak/>
        <w:t>Poly, Jacques (1978), Pour une a</w:t>
      </w:r>
      <w:r>
        <w:t xml:space="preserve">griculture plus économe et plus économe. </w:t>
      </w:r>
      <w:hyperlink r:id="rId9" w:history="1">
        <w:r w:rsidRPr="00AE6E2F">
          <w:rPr>
            <w:rStyle w:val="Hyperlink"/>
            <w:lang w:val="en-GB"/>
          </w:rPr>
          <w:t>https://hal.inrae.fr/hal-02859092v1</w:t>
        </w:r>
      </w:hyperlink>
    </w:p>
    <w:p w14:paraId="6EB03282" w14:textId="7C2DEC9D" w:rsidR="00FB37CF" w:rsidRDefault="00FB37CF" w:rsidP="00F23E36">
      <w:pPr>
        <w:jc w:val="both"/>
      </w:pPr>
      <w:r w:rsidRPr="00664D71">
        <w:rPr>
          <w:lang w:val="en-GB"/>
        </w:rPr>
        <w:t xml:space="preserve">Ruttan, Vernon W., Hayami, Yujiro, 1998. </w:t>
      </w:r>
      <w:r>
        <w:t>A</w:t>
      </w:r>
      <w:r w:rsidRPr="006B719F">
        <w:rPr>
          <w:i/>
          <w:iCs/>
        </w:rPr>
        <w:t>griculture et développement économique, une perspective internationale</w:t>
      </w:r>
      <w:r w:rsidRPr="006B719F">
        <w:t>, Inra éditions</w:t>
      </w:r>
      <w:r>
        <w:t>.</w:t>
      </w:r>
    </w:p>
    <w:p w14:paraId="465EE5E0" w14:textId="60DF3990" w:rsidR="001E745D" w:rsidRPr="00FB37CF" w:rsidRDefault="009509FA" w:rsidP="00F23E36">
      <w:pPr>
        <w:jc w:val="both"/>
        <w:rPr>
          <w:lang w:val="en-GB"/>
        </w:rPr>
      </w:pPr>
      <w:proofErr w:type="spellStart"/>
      <w:r w:rsidRPr="00FB37CF">
        <w:rPr>
          <w:lang w:val="en-GB"/>
        </w:rPr>
        <w:t>Swinnen</w:t>
      </w:r>
      <w:proofErr w:type="spellEnd"/>
      <w:r w:rsidRPr="00FB37CF">
        <w:rPr>
          <w:lang w:val="en-GB"/>
        </w:rPr>
        <w:t xml:space="preserve">, Johan F.M., (2015) </w:t>
      </w:r>
      <w:r w:rsidR="001E745D" w:rsidRPr="00FB37CF">
        <w:rPr>
          <w:i/>
          <w:iCs/>
          <w:lang w:val="en-GB"/>
        </w:rPr>
        <w:t>The political economy of the 2014-2020 Common Agricultural Policy, an imperfect storm</w:t>
      </w:r>
      <w:r w:rsidR="001E745D" w:rsidRPr="00FB37CF">
        <w:rPr>
          <w:lang w:val="en-GB"/>
        </w:rPr>
        <w:t xml:space="preserve">, CEPS, Rowman and </w:t>
      </w:r>
      <w:proofErr w:type="spellStart"/>
      <w:r w:rsidR="001E745D" w:rsidRPr="00FB37CF">
        <w:rPr>
          <w:lang w:val="en-GB"/>
        </w:rPr>
        <w:t>Littlefields</w:t>
      </w:r>
      <w:proofErr w:type="spellEnd"/>
      <w:r w:rsidR="001E745D" w:rsidRPr="00FB37CF">
        <w:rPr>
          <w:lang w:val="en-GB"/>
        </w:rPr>
        <w:t xml:space="preserve"> International Ltd, 2015</w:t>
      </w:r>
    </w:p>
    <w:p w14:paraId="7A3BEC1E" w14:textId="51198D86" w:rsidR="00677BFB" w:rsidRDefault="00677BFB" w:rsidP="00677BFB">
      <w:pPr>
        <w:pStyle w:val="FootnoteText"/>
        <w:jc w:val="both"/>
      </w:pPr>
      <w:proofErr w:type="spellStart"/>
      <w:r w:rsidRPr="00677BFB">
        <w:rPr>
          <w:sz w:val="24"/>
          <w:szCs w:val="24"/>
        </w:rPr>
        <w:t>Val</w:t>
      </w:r>
      <w:r w:rsidR="00B03541">
        <w:rPr>
          <w:sz w:val="24"/>
          <w:szCs w:val="24"/>
        </w:rPr>
        <w:t>c</w:t>
      </w:r>
      <w:r w:rsidRPr="00677BFB">
        <w:rPr>
          <w:sz w:val="24"/>
          <w:szCs w:val="24"/>
        </w:rPr>
        <w:t>eschini</w:t>
      </w:r>
      <w:proofErr w:type="spellEnd"/>
      <w:r w:rsidRPr="00677BFB">
        <w:rPr>
          <w:sz w:val="24"/>
          <w:szCs w:val="24"/>
        </w:rPr>
        <w:t>, E., et Cornu, P. (2020), L’Inra face au tournant libéral de la Politique agricole commune : le chemin d’une acculturation (1978-1992), Revue Economie Rurale, 372, avril juin 2020, pp.43</w:t>
      </w:r>
      <w:r w:rsidRPr="009E0555">
        <w:rPr>
          <w:sz w:val="24"/>
          <w:szCs w:val="24"/>
        </w:rPr>
        <w:t>-61</w:t>
      </w:r>
      <w:r>
        <w:t xml:space="preserve"> </w:t>
      </w:r>
    </w:p>
    <w:p w14:paraId="6A1D9397" w14:textId="77777777" w:rsidR="009E0555" w:rsidRDefault="009E0555" w:rsidP="00677BFB">
      <w:pPr>
        <w:pStyle w:val="FootnoteText"/>
        <w:jc w:val="both"/>
      </w:pPr>
    </w:p>
    <w:p w14:paraId="303C7E49" w14:textId="5C572BDD" w:rsidR="001E745D" w:rsidRDefault="009E0555">
      <w:pPr>
        <w:jc w:val="both"/>
        <w:rPr>
          <w:rStyle w:val="Hyperlink"/>
        </w:rPr>
      </w:pPr>
      <w:proofErr w:type="spellStart"/>
      <w:r w:rsidRPr="00677BFB">
        <w:t>Val</w:t>
      </w:r>
      <w:r w:rsidR="00B03541">
        <w:t>c</w:t>
      </w:r>
      <w:r w:rsidRPr="00677BFB">
        <w:t>eschini</w:t>
      </w:r>
      <w:proofErr w:type="spellEnd"/>
      <w:r w:rsidRPr="00677BFB">
        <w:t>, E., et Cornu, P. (2020)</w:t>
      </w:r>
      <w:r>
        <w:t>. Denis Bergmann (1919-1987). Notice biographique.</w:t>
      </w:r>
      <w:r w:rsidRPr="009E0555">
        <w:t xml:space="preserve"> </w:t>
      </w:r>
      <w:r>
        <w:t xml:space="preserve">Economistes ruraux, 21 (1) Edition INRAE, pp. 12-53, </w:t>
      </w:r>
      <w:proofErr w:type="spellStart"/>
      <w:r>
        <w:t>Archorales</w:t>
      </w:r>
      <w:proofErr w:type="spellEnd"/>
      <w:r>
        <w:t xml:space="preserve">, 978-2-7380-1454-2. </w:t>
      </w:r>
      <w:proofErr w:type="gramStart"/>
      <w:r>
        <w:t>hal</w:t>
      </w:r>
      <w:proofErr w:type="gramEnd"/>
      <w:r>
        <w:t xml:space="preserve">-04227139. </w:t>
      </w:r>
      <w:hyperlink r:id="rId10" w:history="1">
        <w:r w:rsidRPr="006A47EB">
          <w:rPr>
            <w:rStyle w:val="Hyperlink"/>
          </w:rPr>
          <w:t>https://hal.inrae.fr/hal-04227139v1/file/2023_Archorales_N21-T1_NOTICE%20BIOGRAPHIQUE_DENIS%20BERGMANN.pdf</w:t>
        </w:r>
      </w:hyperlink>
    </w:p>
    <w:sectPr w:rsidR="001E745D">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D8B2D" w14:textId="77777777" w:rsidR="006D67B5" w:rsidRDefault="006D67B5" w:rsidP="00C37C8C">
      <w:pPr>
        <w:spacing w:after="0" w:line="240" w:lineRule="auto"/>
      </w:pPr>
      <w:r>
        <w:separator/>
      </w:r>
    </w:p>
  </w:endnote>
  <w:endnote w:type="continuationSeparator" w:id="0">
    <w:p w14:paraId="4B1FDA9A" w14:textId="77777777" w:rsidR="006D67B5" w:rsidRDefault="006D67B5" w:rsidP="00C37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9992788"/>
      <w:docPartObj>
        <w:docPartGallery w:val="Page Numbers (Bottom of Page)"/>
        <w:docPartUnique/>
      </w:docPartObj>
    </w:sdtPr>
    <w:sdtEndPr>
      <w:rPr>
        <w:noProof/>
      </w:rPr>
    </w:sdtEndPr>
    <w:sdtContent>
      <w:p w14:paraId="075E5CC3" w14:textId="479201CA" w:rsidR="00C37C8C" w:rsidRDefault="00C37C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D3F5DB" w14:textId="77777777" w:rsidR="00C37C8C" w:rsidRDefault="00C37C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B41F7" w14:textId="77777777" w:rsidR="006D67B5" w:rsidRDefault="006D67B5" w:rsidP="00C37C8C">
      <w:pPr>
        <w:spacing w:after="0" w:line="240" w:lineRule="auto"/>
      </w:pPr>
      <w:r>
        <w:separator/>
      </w:r>
    </w:p>
  </w:footnote>
  <w:footnote w:type="continuationSeparator" w:id="0">
    <w:p w14:paraId="65B64812" w14:textId="77777777" w:rsidR="006D67B5" w:rsidRDefault="006D67B5" w:rsidP="00C37C8C">
      <w:pPr>
        <w:spacing w:after="0" w:line="240" w:lineRule="auto"/>
      </w:pPr>
      <w:r>
        <w:continuationSeparator/>
      </w:r>
    </w:p>
  </w:footnote>
  <w:footnote w:id="1">
    <w:p w14:paraId="035154D0" w14:textId="00059E4E" w:rsidR="00161746" w:rsidRDefault="00161746" w:rsidP="008F4C0B">
      <w:pPr>
        <w:pStyle w:val="FootnoteText"/>
        <w:jc w:val="both"/>
      </w:pPr>
      <w:r>
        <w:rPr>
          <w:rStyle w:val="FootnoteReference"/>
        </w:rPr>
        <w:footnoteRef/>
      </w:r>
      <w:r>
        <w:t xml:space="preserve"> « Quarante ans d’évolution de l’agriculture bretonne, vus et vécus par un Agro », 35850 Romillé, 24/10/2023. </w:t>
      </w:r>
      <w:hyperlink r:id="rId1" w:history="1">
        <w:r w:rsidRPr="00657FF9">
          <w:rPr>
            <w:rStyle w:val="Hyperlink"/>
          </w:rPr>
          <w:t>https://www.uniagro.fr/news/robert-blondel-p65-quarante-ans-d-evolution-de-l-agriculture-bretonne-vus-et-vecus-par-un-agro-3789?hb=1</w:t>
        </w:r>
      </w:hyperlink>
    </w:p>
  </w:footnote>
  <w:footnote w:id="2">
    <w:p w14:paraId="2E49D408" w14:textId="37FD0069" w:rsidR="001044DA" w:rsidRDefault="001044DA">
      <w:pPr>
        <w:pStyle w:val="FootnoteText"/>
      </w:pPr>
      <w:r>
        <w:rPr>
          <w:rStyle w:val="FootnoteReference"/>
        </w:rPr>
        <w:footnoteRef/>
      </w:r>
      <w:r>
        <w:t xml:space="preserve"> </w:t>
      </w:r>
      <w:hyperlink r:id="rId2" w:history="1">
        <w:r w:rsidRPr="00657FF9">
          <w:rPr>
            <w:rStyle w:val="Hyperlink"/>
          </w:rPr>
          <w:t>https://www.uniagro.fr/news/debat-arnaud-degoulet-nicolas-legendre-au-sujet-de-silence-dans-les-champs-n-legendre-2023-3818?hb=1</w:t>
        </w:r>
      </w:hyperlink>
    </w:p>
  </w:footnote>
  <w:footnote w:id="3">
    <w:p w14:paraId="6BB2A67D" w14:textId="720E1862" w:rsidR="004862FC" w:rsidRPr="001A6F78" w:rsidRDefault="004862FC" w:rsidP="001A6F78">
      <w:pPr>
        <w:jc w:val="both"/>
        <w:rPr>
          <w:sz w:val="20"/>
          <w:szCs w:val="20"/>
        </w:rPr>
      </w:pPr>
      <w:r>
        <w:rPr>
          <w:rStyle w:val="FootnoteReference"/>
        </w:rPr>
        <w:footnoteRef/>
      </w:r>
      <w:r>
        <w:t xml:space="preserve"> </w:t>
      </w:r>
      <w:r w:rsidRPr="004862FC">
        <w:rPr>
          <w:sz w:val="20"/>
          <w:szCs w:val="20"/>
        </w:rPr>
        <w:t xml:space="preserve">Denis Bergmann (1919-1987), agronome formé par René Dumont (1904-2001) qu’il accompagna aux Etats-Unis dans sa découverte de l’agriculture américaine (René Dumont, 1949, </w:t>
      </w:r>
      <w:r w:rsidRPr="004862FC">
        <w:rPr>
          <w:i/>
          <w:iCs/>
          <w:sz w:val="20"/>
          <w:szCs w:val="20"/>
        </w:rPr>
        <w:t>Les leçons de l’agriculture américaine</w:t>
      </w:r>
      <w:r w:rsidRPr="004862FC">
        <w:rPr>
          <w:sz w:val="20"/>
          <w:szCs w:val="20"/>
        </w:rPr>
        <w:t>), diplômé de l’Institut National Agronomique et de l’Université Cornell, promoteur de l’économie rurale en France. Il s</w:t>
      </w:r>
      <w:r>
        <w:rPr>
          <w:sz w:val="20"/>
          <w:szCs w:val="20"/>
        </w:rPr>
        <w:t>’éloignera</w:t>
      </w:r>
      <w:r w:rsidRPr="004862FC">
        <w:rPr>
          <w:sz w:val="20"/>
          <w:szCs w:val="20"/>
        </w:rPr>
        <w:t xml:space="preserve"> progressivement de René Dumont dont les analyses économiques </w:t>
      </w:r>
      <w:r>
        <w:rPr>
          <w:sz w:val="20"/>
          <w:szCs w:val="20"/>
        </w:rPr>
        <w:t xml:space="preserve">lui parurent </w:t>
      </w:r>
      <w:r w:rsidRPr="004862FC">
        <w:rPr>
          <w:sz w:val="20"/>
          <w:szCs w:val="20"/>
        </w:rPr>
        <w:t xml:space="preserve">insuffisamment rigoureuses. </w:t>
      </w:r>
      <w:r w:rsidR="000D2858">
        <w:rPr>
          <w:sz w:val="20"/>
          <w:szCs w:val="20"/>
        </w:rPr>
        <w:t xml:space="preserve">Denis Bergman succéda à L. Malassis à la </w:t>
      </w:r>
      <w:proofErr w:type="spellStart"/>
      <w:r w:rsidR="000D2858">
        <w:rPr>
          <w:sz w:val="20"/>
          <w:szCs w:val="20"/>
        </w:rPr>
        <w:t>Sfer</w:t>
      </w:r>
      <w:proofErr w:type="spellEnd"/>
      <w:r w:rsidR="000D2858">
        <w:rPr>
          <w:sz w:val="20"/>
          <w:szCs w:val="20"/>
        </w:rPr>
        <w:t xml:space="preserve"> et posa les bases du Réseau d’information comptable agricole (RICA).</w:t>
      </w:r>
    </w:p>
  </w:footnote>
  <w:footnote w:id="4">
    <w:p w14:paraId="71F57CEE" w14:textId="3171112B" w:rsidR="006B719F" w:rsidRDefault="006B719F">
      <w:pPr>
        <w:pStyle w:val="FootnoteText"/>
      </w:pPr>
      <w:r>
        <w:rPr>
          <w:rStyle w:val="FootnoteReference"/>
        </w:rPr>
        <w:footnoteRef/>
      </w:r>
      <w:r>
        <w:t xml:space="preserve"> Cf. </w:t>
      </w:r>
      <w:hyperlink r:id="rId3" w:history="1">
        <w:r w:rsidRPr="006B719F">
          <w:rPr>
            <w:rStyle w:val="Hyperlink"/>
          </w:rPr>
          <w:t>recension JM Boussard</w:t>
        </w:r>
      </w:hyperlink>
      <w:r>
        <w:t xml:space="preserve"> dans </w:t>
      </w:r>
      <w:r w:rsidRPr="006B719F">
        <w:rPr>
          <w:i/>
          <w:iCs/>
        </w:rPr>
        <w:t>Economie rurale</w:t>
      </w:r>
      <w:r>
        <w:t xml:space="preserve"> 251 (1999) page 57. </w:t>
      </w:r>
    </w:p>
  </w:footnote>
  <w:footnote w:id="5">
    <w:p w14:paraId="314663EF" w14:textId="1C25143F" w:rsidR="003E3815" w:rsidRDefault="003E3815" w:rsidP="007C6A6F">
      <w:pPr>
        <w:pStyle w:val="FootnoteText"/>
        <w:jc w:val="both"/>
      </w:pPr>
      <w:r>
        <w:rPr>
          <w:rStyle w:val="FootnoteReference"/>
        </w:rPr>
        <w:footnoteRef/>
      </w:r>
      <w:r>
        <w:t xml:space="preserve"> Franz Fischler, commissaire européen de nationalité autrichienne en charge de l’agriculture de 1995 à 2004.</w:t>
      </w:r>
    </w:p>
  </w:footnote>
  <w:footnote w:id="6">
    <w:p w14:paraId="14883CA9" w14:textId="60209807" w:rsidR="005242BE" w:rsidRDefault="005242BE" w:rsidP="007C6A6F">
      <w:pPr>
        <w:pStyle w:val="FootnoteText"/>
        <w:jc w:val="both"/>
      </w:pPr>
      <w:r>
        <w:rPr>
          <w:rStyle w:val="FootnoteReference"/>
        </w:rPr>
        <w:footnoteRef/>
      </w:r>
      <w:r>
        <w:t xml:space="preserve"> L’entreprise bretonne Doux, exportatrice de viande de volaille, f</w:t>
      </w:r>
      <w:r w:rsidR="00161746">
        <w:t xml:space="preserve">ut mise en liquidation judiciaire </w:t>
      </w:r>
      <w:r>
        <w:t>en 20</w:t>
      </w:r>
      <w:r w:rsidR="00161746">
        <w:t>18 après la suspension des restitutions européennes à l’exportation</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61BC9"/>
    <w:multiLevelType w:val="hybridMultilevel"/>
    <w:tmpl w:val="31AE71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2265066"/>
    <w:multiLevelType w:val="hybridMultilevel"/>
    <w:tmpl w:val="21F288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DDC2A05"/>
    <w:multiLevelType w:val="hybridMultilevel"/>
    <w:tmpl w:val="963881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664701184">
    <w:abstractNumId w:val="0"/>
  </w:num>
  <w:num w:numId="2" w16cid:durableId="1477139826">
    <w:abstractNumId w:val="1"/>
  </w:num>
  <w:num w:numId="3" w16cid:durableId="585504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871"/>
    <w:rsid w:val="0000024E"/>
    <w:rsid w:val="00012134"/>
    <w:rsid w:val="0001762A"/>
    <w:rsid w:val="0005184B"/>
    <w:rsid w:val="00061039"/>
    <w:rsid w:val="00083E4B"/>
    <w:rsid w:val="00084CAB"/>
    <w:rsid w:val="0009153F"/>
    <w:rsid w:val="00096648"/>
    <w:rsid w:val="000B13EF"/>
    <w:rsid w:val="000B542A"/>
    <w:rsid w:val="000C4B78"/>
    <w:rsid w:val="000D2858"/>
    <w:rsid w:val="000F5911"/>
    <w:rsid w:val="001044DA"/>
    <w:rsid w:val="00140C3A"/>
    <w:rsid w:val="00161746"/>
    <w:rsid w:val="00161DA9"/>
    <w:rsid w:val="00172D21"/>
    <w:rsid w:val="00190C80"/>
    <w:rsid w:val="001A0BBE"/>
    <w:rsid w:val="001A6F78"/>
    <w:rsid w:val="001B5812"/>
    <w:rsid w:val="001C7B0E"/>
    <w:rsid w:val="001E745D"/>
    <w:rsid w:val="001F7AF4"/>
    <w:rsid w:val="00203E6E"/>
    <w:rsid w:val="00204F3A"/>
    <w:rsid w:val="00224610"/>
    <w:rsid w:val="002328FA"/>
    <w:rsid w:val="002417D3"/>
    <w:rsid w:val="00241B19"/>
    <w:rsid w:val="002438D7"/>
    <w:rsid w:val="002444DC"/>
    <w:rsid w:val="00263ACB"/>
    <w:rsid w:val="002722BB"/>
    <w:rsid w:val="00273AE5"/>
    <w:rsid w:val="0028134F"/>
    <w:rsid w:val="002D0876"/>
    <w:rsid w:val="002D64D6"/>
    <w:rsid w:val="002E2ECA"/>
    <w:rsid w:val="002F1D57"/>
    <w:rsid w:val="002F30C6"/>
    <w:rsid w:val="00305ABF"/>
    <w:rsid w:val="00311C9F"/>
    <w:rsid w:val="0031404A"/>
    <w:rsid w:val="00317862"/>
    <w:rsid w:val="00317E86"/>
    <w:rsid w:val="003244D2"/>
    <w:rsid w:val="003255E9"/>
    <w:rsid w:val="00325E89"/>
    <w:rsid w:val="00337F3E"/>
    <w:rsid w:val="00360FE9"/>
    <w:rsid w:val="003722A1"/>
    <w:rsid w:val="0039368D"/>
    <w:rsid w:val="003A34AC"/>
    <w:rsid w:val="003E16E6"/>
    <w:rsid w:val="003E3815"/>
    <w:rsid w:val="003F6D27"/>
    <w:rsid w:val="00415FE6"/>
    <w:rsid w:val="00433AB6"/>
    <w:rsid w:val="00441AE0"/>
    <w:rsid w:val="004504E9"/>
    <w:rsid w:val="0045719B"/>
    <w:rsid w:val="004607A8"/>
    <w:rsid w:val="004717C6"/>
    <w:rsid w:val="00471848"/>
    <w:rsid w:val="004862FC"/>
    <w:rsid w:val="0049434A"/>
    <w:rsid w:val="004A0030"/>
    <w:rsid w:val="004B73A8"/>
    <w:rsid w:val="00503A55"/>
    <w:rsid w:val="0051049E"/>
    <w:rsid w:val="005242BE"/>
    <w:rsid w:val="00543B76"/>
    <w:rsid w:val="00563490"/>
    <w:rsid w:val="00570353"/>
    <w:rsid w:val="00570871"/>
    <w:rsid w:val="00593A3F"/>
    <w:rsid w:val="0059494E"/>
    <w:rsid w:val="005A06A2"/>
    <w:rsid w:val="005C1EE9"/>
    <w:rsid w:val="006079F3"/>
    <w:rsid w:val="0061164F"/>
    <w:rsid w:val="00626E59"/>
    <w:rsid w:val="00630B6B"/>
    <w:rsid w:val="00664D71"/>
    <w:rsid w:val="00671DA6"/>
    <w:rsid w:val="0067668C"/>
    <w:rsid w:val="00677BFB"/>
    <w:rsid w:val="006902EC"/>
    <w:rsid w:val="00695310"/>
    <w:rsid w:val="006B719F"/>
    <w:rsid w:val="006B7AB3"/>
    <w:rsid w:val="006C45C7"/>
    <w:rsid w:val="006D67B5"/>
    <w:rsid w:val="006F2A66"/>
    <w:rsid w:val="0070283F"/>
    <w:rsid w:val="007056A6"/>
    <w:rsid w:val="00713F1A"/>
    <w:rsid w:val="00717A8D"/>
    <w:rsid w:val="00755C90"/>
    <w:rsid w:val="00776A73"/>
    <w:rsid w:val="00787634"/>
    <w:rsid w:val="007B55B1"/>
    <w:rsid w:val="007C6A6F"/>
    <w:rsid w:val="008003DD"/>
    <w:rsid w:val="008039FB"/>
    <w:rsid w:val="0081209C"/>
    <w:rsid w:val="00833DF4"/>
    <w:rsid w:val="00875697"/>
    <w:rsid w:val="00881A68"/>
    <w:rsid w:val="00890369"/>
    <w:rsid w:val="00895E94"/>
    <w:rsid w:val="008C213E"/>
    <w:rsid w:val="008C52E2"/>
    <w:rsid w:val="008D5430"/>
    <w:rsid w:val="008F4C0B"/>
    <w:rsid w:val="00900DFB"/>
    <w:rsid w:val="00903822"/>
    <w:rsid w:val="00904EC0"/>
    <w:rsid w:val="009050E5"/>
    <w:rsid w:val="0092342A"/>
    <w:rsid w:val="00931C9B"/>
    <w:rsid w:val="00932BE3"/>
    <w:rsid w:val="009344C4"/>
    <w:rsid w:val="009509FA"/>
    <w:rsid w:val="00967103"/>
    <w:rsid w:val="00974A6F"/>
    <w:rsid w:val="009B2D38"/>
    <w:rsid w:val="009B3C0F"/>
    <w:rsid w:val="009D493D"/>
    <w:rsid w:val="009E0555"/>
    <w:rsid w:val="009F0A6C"/>
    <w:rsid w:val="009F46C0"/>
    <w:rsid w:val="00A05934"/>
    <w:rsid w:val="00A13D7A"/>
    <w:rsid w:val="00A211C2"/>
    <w:rsid w:val="00A35DA1"/>
    <w:rsid w:val="00A4039F"/>
    <w:rsid w:val="00A41A5E"/>
    <w:rsid w:val="00A45C6B"/>
    <w:rsid w:val="00A52CE4"/>
    <w:rsid w:val="00A63563"/>
    <w:rsid w:val="00A644B2"/>
    <w:rsid w:val="00A7687E"/>
    <w:rsid w:val="00A77889"/>
    <w:rsid w:val="00A96444"/>
    <w:rsid w:val="00AB5450"/>
    <w:rsid w:val="00AE06CF"/>
    <w:rsid w:val="00AE1651"/>
    <w:rsid w:val="00AE6E2F"/>
    <w:rsid w:val="00B00B02"/>
    <w:rsid w:val="00B03541"/>
    <w:rsid w:val="00B10813"/>
    <w:rsid w:val="00B10D5E"/>
    <w:rsid w:val="00B12264"/>
    <w:rsid w:val="00B124C6"/>
    <w:rsid w:val="00B2214A"/>
    <w:rsid w:val="00B24F08"/>
    <w:rsid w:val="00B84B80"/>
    <w:rsid w:val="00B92704"/>
    <w:rsid w:val="00BF2144"/>
    <w:rsid w:val="00C0023E"/>
    <w:rsid w:val="00C235BC"/>
    <w:rsid w:val="00C34CD2"/>
    <w:rsid w:val="00C36073"/>
    <w:rsid w:val="00C37C8C"/>
    <w:rsid w:val="00C40498"/>
    <w:rsid w:val="00C44BCD"/>
    <w:rsid w:val="00C5243B"/>
    <w:rsid w:val="00C60BF6"/>
    <w:rsid w:val="00C64812"/>
    <w:rsid w:val="00C7216A"/>
    <w:rsid w:val="00C744B8"/>
    <w:rsid w:val="00CA2061"/>
    <w:rsid w:val="00CA440E"/>
    <w:rsid w:val="00CB0CB5"/>
    <w:rsid w:val="00CF5C45"/>
    <w:rsid w:val="00D07B34"/>
    <w:rsid w:val="00D14E45"/>
    <w:rsid w:val="00D20E99"/>
    <w:rsid w:val="00D30569"/>
    <w:rsid w:val="00D42CF6"/>
    <w:rsid w:val="00D57F79"/>
    <w:rsid w:val="00D651A9"/>
    <w:rsid w:val="00D70E89"/>
    <w:rsid w:val="00D83FC8"/>
    <w:rsid w:val="00DA276B"/>
    <w:rsid w:val="00DA3BF8"/>
    <w:rsid w:val="00DC37E2"/>
    <w:rsid w:val="00DD62E9"/>
    <w:rsid w:val="00E05854"/>
    <w:rsid w:val="00E15210"/>
    <w:rsid w:val="00E21E19"/>
    <w:rsid w:val="00E34004"/>
    <w:rsid w:val="00E40E32"/>
    <w:rsid w:val="00E52873"/>
    <w:rsid w:val="00E54C31"/>
    <w:rsid w:val="00E64295"/>
    <w:rsid w:val="00E70234"/>
    <w:rsid w:val="00E85D85"/>
    <w:rsid w:val="00E93D16"/>
    <w:rsid w:val="00EA3C40"/>
    <w:rsid w:val="00EB622C"/>
    <w:rsid w:val="00EC42AF"/>
    <w:rsid w:val="00EE110B"/>
    <w:rsid w:val="00EE5396"/>
    <w:rsid w:val="00EF5ABD"/>
    <w:rsid w:val="00F00D25"/>
    <w:rsid w:val="00F0146A"/>
    <w:rsid w:val="00F12B30"/>
    <w:rsid w:val="00F23E36"/>
    <w:rsid w:val="00F35BC8"/>
    <w:rsid w:val="00F6035B"/>
    <w:rsid w:val="00F8310C"/>
    <w:rsid w:val="00F93000"/>
    <w:rsid w:val="00F96BF0"/>
    <w:rsid w:val="00FB2AFA"/>
    <w:rsid w:val="00FB37CF"/>
    <w:rsid w:val="00FB7353"/>
    <w:rsid w:val="00FC0649"/>
    <w:rsid w:val="00FD4BBC"/>
    <w:rsid w:val="00FD55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A31D5"/>
  <w15:chartTrackingRefBased/>
  <w15:docId w15:val="{22997FD0-E450-491B-9242-DBF8AC539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08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08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08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08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08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08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08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08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08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8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08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08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08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08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08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08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08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0871"/>
    <w:rPr>
      <w:rFonts w:eastAsiaTheme="majorEastAsia" w:cstheme="majorBidi"/>
      <w:color w:val="272727" w:themeColor="text1" w:themeTint="D8"/>
    </w:rPr>
  </w:style>
  <w:style w:type="paragraph" w:styleId="Title">
    <w:name w:val="Title"/>
    <w:basedOn w:val="Normal"/>
    <w:next w:val="Normal"/>
    <w:link w:val="TitleChar"/>
    <w:uiPriority w:val="10"/>
    <w:qFormat/>
    <w:rsid w:val="005708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08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08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08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0871"/>
    <w:pPr>
      <w:spacing w:before="160"/>
      <w:jc w:val="center"/>
    </w:pPr>
    <w:rPr>
      <w:i/>
      <w:iCs/>
      <w:color w:val="404040" w:themeColor="text1" w:themeTint="BF"/>
    </w:rPr>
  </w:style>
  <w:style w:type="character" w:customStyle="1" w:styleId="QuoteChar">
    <w:name w:val="Quote Char"/>
    <w:basedOn w:val="DefaultParagraphFont"/>
    <w:link w:val="Quote"/>
    <w:uiPriority w:val="29"/>
    <w:rsid w:val="00570871"/>
    <w:rPr>
      <w:i/>
      <w:iCs/>
      <w:color w:val="404040" w:themeColor="text1" w:themeTint="BF"/>
    </w:rPr>
  </w:style>
  <w:style w:type="paragraph" w:styleId="ListParagraph">
    <w:name w:val="List Paragraph"/>
    <w:basedOn w:val="Normal"/>
    <w:uiPriority w:val="34"/>
    <w:qFormat/>
    <w:rsid w:val="00570871"/>
    <w:pPr>
      <w:ind w:left="720"/>
      <w:contextualSpacing/>
    </w:pPr>
  </w:style>
  <w:style w:type="character" w:styleId="IntenseEmphasis">
    <w:name w:val="Intense Emphasis"/>
    <w:basedOn w:val="DefaultParagraphFont"/>
    <w:uiPriority w:val="21"/>
    <w:qFormat/>
    <w:rsid w:val="00570871"/>
    <w:rPr>
      <w:i/>
      <w:iCs/>
      <w:color w:val="0F4761" w:themeColor="accent1" w:themeShade="BF"/>
    </w:rPr>
  </w:style>
  <w:style w:type="paragraph" w:styleId="IntenseQuote">
    <w:name w:val="Intense Quote"/>
    <w:basedOn w:val="Normal"/>
    <w:next w:val="Normal"/>
    <w:link w:val="IntenseQuoteChar"/>
    <w:uiPriority w:val="30"/>
    <w:qFormat/>
    <w:rsid w:val="005708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0871"/>
    <w:rPr>
      <w:i/>
      <w:iCs/>
      <w:color w:val="0F4761" w:themeColor="accent1" w:themeShade="BF"/>
    </w:rPr>
  </w:style>
  <w:style w:type="character" w:styleId="IntenseReference">
    <w:name w:val="Intense Reference"/>
    <w:basedOn w:val="DefaultParagraphFont"/>
    <w:uiPriority w:val="32"/>
    <w:qFormat/>
    <w:rsid w:val="00570871"/>
    <w:rPr>
      <w:b/>
      <w:bCs/>
      <w:smallCaps/>
      <w:color w:val="0F4761" w:themeColor="accent1" w:themeShade="BF"/>
      <w:spacing w:val="5"/>
    </w:rPr>
  </w:style>
  <w:style w:type="paragraph" w:styleId="Header">
    <w:name w:val="header"/>
    <w:basedOn w:val="Normal"/>
    <w:link w:val="HeaderChar"/>
    <w:uiPriority w:val="99"/>
    <w:unhideWhenUsed/>
    <w:rsid w:val="00C37C8C"/>
    <w:pPr>
      <w:tabs>
        <w:tab w:val="center" w:pos="4536"/>
        <w:tab w:val="right" w:pos="9072"/>
      </w:tabs>
      <w:spacing w:after="0" w:line="240" w:lineRule="auto"/>
    </w:pPr>
  </w:style>
  <w:style w:type="character" w:customStyle="1" w:styleId="HeaderChar">
    <w:name w:val="Header Char"/>
    <w:basedOn w:val="DefaultParagraphFont"/>
    <w:link w:val="Header"/>
    <w:uiPriority w:val="99"/>
    <w:rsid w:val="00C37C8C"/>
  </w:style>
  <w:style w:type="paragraph" w:styleId="Footer">
    <w:name w:val="footer"/>
    <w:basedOn w:val="Normal"/>
    <w:link w:val="FooterChar"/>
    <w:uiPriority w:val="99"/>
    <w:unhideWhenUsed/>
    <w:rsid w:val="00C37C8C"/>
    <w:pPr>
      <w:tabs>
        <w:tab w:val="center" w:pos="4536"/>
        <w:tab w:val="right" w:pos="9072"/>
      </w:tabs>
      <w:spacing w:after="0" w:line="240" w:lineRule="auto"/>
    </w:pPr>
  </w:style>
  <w:style w:type="character" w:customStyle="1" w:styleId="FooterChar">
    <w:name w:val="Footer Char"/>
    <w:basedOn w:val="DefaultParagraphFont"/>
    <w:link w:val="Footer"/>
    <w:uiPriority w:val="99"/>
    <w:rsid w:val="00C37C8C"/>
  </w:style>
  <w:style w:type="paragraph" w:styleId="FootnoteText">
    <w:name w:val="footnote text"/>
    <w:basedOn w:val="Normal"/>
    <w:link w:val="FootnoteTextChar"/>
    <w:uiPriority w:val="99"/>
    <w:unhideWhenUsed/>
    <w:rsid w:val="00203E6E"/>
    <w:pPr>
      <w:spacing w:after="0" w:line="240" w:lineRule="auto"/>
    </w:pPr>
    <w:rPr>
      <w:sz w:val="20"/>
      <w:szCs w:val="20"/>
    </w:rPr>
  </w:style>
  <w:style w:type="character" w:customStyle="1" w:styleId="FootnoteTextChar">
    <w:name w:val="Footnote Text Char"/>
    <w:basedOn w:val="DefaultParagraphFont"/>
    <w:link w:val="FootnoteText"/>
    <w:uiPriority w:val="99"/>
    <w:rsid w:val="00203E6E"/>
    <w:rPr>
      <w:sz w:val="20"/>
      <w:szCs w:val="20"/>
    </w:rPr>
  </w:style>
  <w:style w:type="character" w:styleId="FootnoteReference">
    <w:name w:val="footnote reference"/>
    <w:basedOn w:val="DefaultParagraphFont"/>
    <w:uiPriority w:val="99"/>
    <w:semiHidden/>
    <w:unhideWhenUsed/>
    <w:rsid w:val="00203E6E"/>
    <w:rPr>
      <w:vertAlign w:val="superscript"/>
    </w:rPr>
  </w:style>
  <w:style w:type="character" w:styleId="Hyperlink">
    <w:name w:val="Hyperlink"/>
    <w:basedOn w:val="DefaultParagraphFont"/>
    <w:uiPriority w:val="99"/>
    <w:unhideWhenUsed/>
    <w:rsid w:val="009E0555"/>
    <w:rPr>
      <w:color w:val="467886" w:themeColor="hyperlink"/>
      <w:u w:val="single"/>
    </w:rPr>
  </w:style>
  <w:style w:type="character" w:styleId="UnresolvedMention">
    <w:name w:val="Unresolved Mention"/>
    <w:basedOn w:val="DefaultParagraphFont"/>
    <w:uiPriority w:val="99"/>
    <w:semiHidden/>
    <w:unhideWhenUsed/>
    <w:rsid w:val="009E05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l.inrae.fr/hal-04256180v1/file/N21-T2_TEMOIGNAGE_LOUIS-PASCAL_MAH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hal.inrae.fr/hal-04227139v1/file/2023_Archorales_N21-T1_NOTICE%20BIOGRAPHIQUE_DENIS%20BERGMANN.pdf" TargetMode="External"/><Relationship Id="rId4" Type="http://schemas.openxmlformats.org/officeDocument/2006/relationships/settings" Target="settings.xml"/><Relationship Id="rId9" Type="http://schemas.openxmlformats.org/officeDocument/2006/relationships/hyperlink" Target="https://hal.inrae.fr/hal-02859092v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persee.fr/doc/ecoru_0013-0559_1999_num_251_1_5092_t1_0057_0000_1" TargetMode="External"/><Relationship Id="rId2" Type="http://schemas.openxmlformats.org/officeDocument/2006/relationships/hyperlink" Target="https://www.uniagro.fr/news/debat-arnaud-degoulet-nicolas-legendre-au-sujet-de-silence-dans-les-champs-n-legendre-2023-3818?hb=1" TargetMode="External"/><Relationship Id="rId1" Type="http://schemas.openxmlformats.org/officeDocument/2006/relationships/hyperlink" Target="https://www.uniagro.fr/news/robert-blondel-p65-quarante-ans-d-evolution-de-l-agriculture-bretonne-vus-et-vecus-par-un-agro-3789?h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B1A8B-8BAE-4EB1-9F5F-CD7A9E323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18</Pages>
  <Words>7275</Words>
  <Characters>40017</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 de Largentaye</dc:creator>
  <cp:keywords/>
  <dc:description/>
  <cp:lastModifiedBy>Armand de Largentaye</cp:lastModifiedBy>
  <cp:revision>17</cp:revision>
  <cp:lastPrinted>2024-07-27T10:17:00Z</cp:lastPrinted>
  <dcterms:created xsi:type="dcterms:W3CDTF">2024-07-26T18:15:00Z</dcterms:created>
  <dcterms:modified xsi:type="dcterms:W3CDTF">2024-07-27T13:37:00Z</dcterms:modified>
</cp:coreProperties>
</file>